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0D" w:rsidRDefault="00C22F04" w:rsidP="00C22F04">
      <w:pPr>
        <w:spacing w:after="0" w:line="240" w:lineRule="auto"/>
        <w:jc w:val="right"/>
        <w:rPr>
          <w:b/>
          <w:color w:val="404040" w:themeColor="text1" w:themeTint="BF"/>
        </w:rPr>
      </w:pPr>
      <w:r>
        <w:rPr>
          <w:b/>
          <w:color w:val="404040" w:themeColor="text1" w:themeTint="BF"/>
        </w:rPr>
        <w:t xml:space="preserve">                                                                            </w:t>
      </w:r>
    </w:p>
    <w:p w:rsidR="00124814" w:rsidRDefault="00124814" w:rsidP="00C22F04">
      <w:pPr>
        <w:spacing w:after="0" w:line="240" w:lineRule="auto"/>
        <w:jc w:val="right"/>
        <w:rPr>
          <w:b/>
          <w:color w:val="404040" w:themeColor="text1" w:themeTint="BF"/>
        </w:rPr>
      </w:pPr>
    </w:p>
    <w:p w:rsidR="00124814" w:rsidRPr="00C3407C" w:rsidRDefault="00C3407C" w:rsidP="00C3407C">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Pr>
          <w:rFonts w:ascii="Cambria" w:eastAsia="Times New Roman" w:hAnsi="Cambria" w:cs="Times New Roman"/>
          <w:b/>
          <w:bCs/>
          <w:color w:val="7F7F7F"/>
          <w:sz w:val="28"/>
          <w:szCs w:val="28"/>
          <w:lang w:eastAsia="es-ES"/>
        </w:rPr>
        <w:tab/>
      </w:r>
      <w:r>
        <w:rPr>
          <w:rFonts w:ascii="Cambria" w:eastAsia="Times New Roman" w:hAnsi="Cambria" w:cs="Times New Roman"/>
          <w:b/>
          <w:bCs/>
          <w:color w:val="7F7F7F"/>
          <w:sz w:val="28"/>
          <w:szCs w:val="28"/>
          <w:lang w:eastAsia="es-ES"/>
        </w:rPr>
        <w:tab/>
      </w:r>
      <w:r w:rsidR="00124814" w:rsidRPr="00C3407C">
        <w:rPr>
          <w:rFonts w:ascii="Cambria" w:eastAsia="Times New Roman" w:hAnsi="Cambria" w:cs="Times New Roman"/>
          <w:b/>
          <w:bCs/>
          <w:color w:val="7F7F7F"/>
          <w:sz w:val="28"/>
          <w:szCs w:val="28"/>
          <w:lang w:eastAsia="es-ES"/>
        </w:rPr>
        <w:t>Buena</w:t>
      </w:r>
      <w:r>
        <w:rPr>
          <w:rFonts w:ascii="Cambria" w:eastAsia="Times New Roman" w:hAnsi="Cambria" w:cs="Times New Roman"/>
          <w:b/>
          <w:bCs/>
          <w:color w:val="7F7F7F"/>
          <w:sz w:val="28"/>
          <w:szCs w:val="28"/>
          <w:lang w:eastAsia="es-ES"/>
        </w:rPr>
        <w:t>s  P</w:t>
      </w:r>
      <w:r w:rsidR="00124814" w:rsidRPr="00C3407C">
        <w:rPr>
          <w:rFonts w:ascii="Cambria" w:eastAsia="Times New Roman" w:hAnsi="Cambria" w:cs="Times New Roman"/>
          <w:b/>
          <w:bCs/>
          <w:color w:val="7F7F7F"/>
          <w:sz w:val="28"/>
          <w:szCs w:val="28"/>
          <w:lang w:eastAsia="es-ES"/>
        </w:rPr>
        <w:t>ráctica</w:t>
      </w:r>
      <w:r>
        <w:rPr>
          <w:rFonts w:ascii="Cambria" w:eastAsia="Times New Roman" w:hAnsi="Cambria" w:cs="Times New Roman"/>
          <w:b/>
          <w:bCs/>
          <w:color w:val="7F7F7F"/>
          <w:sz w:val="28"/>
          <w:szCs w:val="28"/>
          <w:lang w:eastAsia="es-ES"/>
        </w:rPr>
        <w:t>s</w:t>
      </w:r>
      <w:r w:rsidR="00124814" w:rsidRPr="00C3407C">
        <w:rPr>
          <w:rFonts w:ascii="Cambria" w:eastAsia="Times New Roman" w:hAnsi="Cambria" w:cs="Times New Roman"/>
          <w:b/>
          <w:bCs/>
          <w:color w:val="7F7F7F"/>
          <w:sz w:val="28"/>
          <w:szCs w:val="28"/>
          <w:lang w:eastAsia="es-ES"/>
        </w:rPr>
        <w:t xml:space="preserve"> de la BUS</w:t>
      </w:r>
      <w:r>
        <w:rPr>
          <w:rFonts w:ascii="Cambria" w:eastAsia="Times New Roman" w:hAnsi="Cambria" w:cs="Times New Roman"/>
          <w:b/>
          <w:bCs/>
          <w:color w:val="7F7F7F"/>
          <w:sz w:val="28"/>
          <w:szCs w:val="28"/>
          <w:lang w:eastAsia="es-ES"/>
        </w:rPr>
        <w:t xml:space="preserve">: </w:t>
      </w:r>
      <w:r w:rsidR="00124814" w:rsidRPr="00C3407C">
        <w:rPr>
          <w:rFonts w:ascii="Cambria" w:eastAsia="Times New Roman" w:hAnsi="Cambria" w:cs="Times New Roman"/>
          <w:b/>
          <w:bCs/>
          <w:color w:val="7F7F7F"/>
          <w:sz w:val="28"/>
          <w:szCs w:val="28"/>
          <w:lang w:eastAsia="es-ES"/>
        </w:rPr>
        <w:t>Formación en Competencias en gestión  de la Información, CI</w:t>
      </w:r>
    </w:p>
    <w:p w:rsidR="00124814" w:rsidRPr="00AF46F2" w:rsidRDefault="00124814" w:rsidP="00124814">
      <w:pPr>
        <w:rPr>
          <w:b/>
        </w:rPr>
      </w:pPr>
    </w:p>
    <w:p w:rsidR="007522BD" w:rsidRDefault="00124814" w:rsidP="00C3407C">
      <w:pPr>
        <w:pStyle w:val="Prrafodelista"/>
        <w:numPr>
          <w:ilvl w:val="0"/>
          <w:numId w:val="6"/>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C3407C">
        <w:rPr>
          <w:rFonts w:ascii="Cambria" w:eastAsia="Times New Roman" w:hAnsi="Cambria" w:cs="Times New Roman"/>
          <w:b/>
          <w:bCs/>
          <w:color w:val="7F7F7F"/>
          <w:sz w:val="24"/>
          <w:szCs w:val="24"/>
          <w:lang w:eastAsia="es-ES"/>
        </w:rPr>
        <w:t>Objetivo</w:t>
      </w:r>
    </w:p>
    <w:p w:rsidR="00C3407C" w:rsidRPr="00C3407C" w:rsidRDefault="00C340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Pr="00C3407C" w:rsidRDefault="00124814" w:rsidP="00124814">
      <w:pPr>
        <w:jc w:val="both"/>
        <w:rPr>
          <w:rFonts w:ascii="Cambria" w:eastAsia="Times New Roman" w:hAnsi="Cambria" w:cs="Times New Roman"/>
          <w:color w:val="000000"/>
          <w:sz w:val="24"/>
          <w:szCs w:val="24"/>
          <w:lang w:eastAsia="es-ES"/>
        </w:rPr>
      </w:pPr>
      <w:r w:rsidRPr="00C3407C">
        <w:rPr>
          <w:rFonts w:ascii="Cambria" w:eastAsia="Times New Roman" w:hAnsi="Cambria" w:cs="Times New Roman"/>
          <w:color w:val="000000"/>
          <w:sz w:val="24"/>
          <w:szCs w:val="24"/>
          <w:lang w:eastAsia="es-ES"/>
        </w:rPr>
        <w:t>Formar a la comunidad universitaria en Competencias en gestión de la Información, CI, dando apoyo al aprend</w:t>
      </w:r>
      <w:r w:rsidR="007522BD" w:rsidRPr="00C3407C">
        <w:rPr>
          <w:rFonts w:ascii="Cambria" w:eastAsia="Times New Roman" w:hAnsi="Cambria" w:cs="Times New Roman"/>
          <w:color w:val="000000"/>
          <w:sz w:val="24"/>
          <w:szCs w:val="24"/>
          <w:lang w:eastAsia="es-ES"/>
        </w:rPr>
        <w:t>izaje, docencia e investigación.</w:t>
      </w:r>
    </w:p>
    <w:p w:rsidR="00124814" w:rsidRPr="00AF46F2" w:rsidRDefault="00124814" w:rsidP="00124814">
      <w:pPr>
        <w:jc w:val="both"/>
        <w:rPr>
          <w:rFonts w:cs="Arial"/>
        </w:rPr>
      </w:pPr>
    </w:p>
    <w:p w:rsidR="007522BD" w:rsidRDefault="007522BD" w:rsidP="00C3407C">
      <w:pPr>
        <w:pStyle w:val="Prrafodelista"/>
        <w:numPr>
          <w:ilvl w:val="0"/>
          <w:numId w:val="6"/>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C3407C">
        <w:rPr>
          <w:rFonts w:ascii="Cambria" w:eastAsia="Times New Roman" w:hAnsi="Cambria" w:cs="Times New Roman"/>
          <w:b/>
          <w:bCs/>
          <w:color w:val="7F7F7F"/>
          <w:sz w:val="24"/>
          <w:szCs w:val="24"/>
          <w:lang w:eastAsia="es-ES"/>
        </w:rPr>
        <w:t>Desarrollo</w:t>
      </w:r>
    </w:p>
    <w:p w:rsidR="00C3407C" w:rsidRPr="00C3407C" w:rsidRDefault="00C340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Pr="00C3407C" w:rsidRDefault="007522BD" w:rsidP="00124814">
      <w:pPr>
        <w:jc w:val="both"/>
        <w:rPr>
          <w:rFonts w:asciiTheme="majorHAnsi" w:hAnsiTheme="majorHAnsi"/>
          <w:sz w:val="24"/>
          <w:szCs w:val="24"/>
        </w:rPr>
      </w:pPr>
      <w:r w:rsidRPr="00C3407C">
        <w:rPr>
          <w:rFonts w:asciiTheme="majorHAnsi" w:hAnsiTheme="majorHAnsi"/>
          <w:b/>
          <w:noProof/>
          <w:sz w:val="24"/>
          <w:szCs w:val="24"/>
          <w:lang w:eastAsia="es-ES"/>
        </w:rPr>
        <mc:AlternateContent>
          <mc:Choice Requires="wps">
            <w:drawing>
              <wp:anchor distT="0" distB="0" distL="114300" distR="114300" simplePos="0" relativeHeight="251660288" behindDoc="0" locked="0" layoutInCell="1" allowOverlap="1" wp14:anchorId="144C8B45" wp14:editId="57878D96">
                <wp:simplePos x="0" y="0"/>
                <wp:positionH relativeFrom="column">
                  <wp:posOffset>3200400</wp:posOffset>
                </wp:positionH>
                <wp:positionV relativeFrom="paragraph">
                  <wp:posOffset>105064</wp:posOffset>
                </wp:positionV>
                <wp:extent cx="2286000" cy="828040"/>
                <wp:effectExtent l="0" t="0" r="0" b="10160"/>
                <wp:wrapThrough wrapText="bothSides">
                  <wp:wrapPolygon edited="0">
                    <wp:start x="0" y="0"/>
                    <wp:lineTo x="0" y="21202"/>
                    <wp:lineTo x="21360" y="21202"/>
                    <wp:lineTo x="21360" y="0"/>
                    <wp:lineTo x="0" y="0"/>
                  </wp:wrapPolygon>
                </wp:wrapThrough>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28040"/>
                        </a:xfrm>
                        <a:prstGeom prst="roundRect">
                          <a:avLst>
                            <a:gd name="adj" fmla="val 16667"/>
                          </a:avLst>
                        </a:prstGeom>
                        <a:solidFill>
                          <a:srgbClr val="BFBFB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3000" dir="5400000" rotWithShape="0">
                                  <a:srgbClr val="000000">
                                    <a:alpha val="34999"/>
                                  </a:srgbClr>
                                </a:outerShdw>
                              </a:effectLst>
                            </a14:hiddenEffects>
                          </a:ext>
                        </a:extLst>
                      </wps:spPr>
                      <wps:txbx>
                        <w:txbxContent>
                          <w:p w:rsidR="00124814" w:rsidRPr="00EF437F" w:rsidRDefault="00124814" w:rsidP="00124814">
                            <w:pPr>
                              <w:spacing w:line="240" w:lineRule="auto"/>
                              <w:jc w:val="center"/>
                              <w:rPr>
                                <w:rFonts w:ascii="Arial" w:hAnsi="Arial" w:cs="Arial"/>
                                <w:sz w:val="20"/>
                                <w:szCs w:val="20"/>
                              </w:rPr>
                            </w:pPr>
                            <w:r w:rsidRPr="00EF437F">
                              <w:rPr>
                                <w:rFonts w:ascii="Arial" w:hAnsi="Arial" w:cs="Arial"/>
                                <w:b/>
                                <w:sz w:val="20"/>
                                <w:szCs w:val="20"/>
                              </w:rPr>
                              <w:t xml:space="preserve">22.129 alumnos </w:t>
                            </w:r>
                            <w:r w:rsidRPr="00EF437F">
                              <w:rPr>
                                <w:rFonts w:ascii="Arial" w:hAnsi="Arial" w:cs="Arial"/>
                                <w:sz w:val="20"/>
                                <w:szCs w:val="20"/>
                              </w:rPr>
                              <w:t xml:space="preserve">de la US formados en CI (16% más que en 2014), para lo que se invirtió </w:t>
                            </w:r>
                            <w:r w:rsidRPr="00EF437F">
                              <w:rPr>
                                <w:rFonts w:ascii="Arial" w:hAnsi="Arial" w:cs="Arial"/>
                                <w:b/>
                                <w:sz w:val="20"/>
                                <w:szCs w:val="20"/>
                              </w:rPr>
                              <w:t>2.027 h</w:t>
                            </w:r>
                            <w:r>
                              <w:rPr>
                                <w:rFonts w:ascii="Arial" w:hAnsi="Arial" w:cs="Arial"/>
                                <w:b/>
                                <w:sz w:val="20"/>
                                <w:szCs w:val="20"/>
                              </w:rPr>
                              <w:t>.</w:t>
                            </w:r>
                            <w:r w:rsidRPr="00EF437F">
                              <w:rPr>
                                <w:rFonts w:ascii="Arial" w:hAnsi="Arial" w:cs="Arial"/>
                                <w:sz w:val="20"/>
                                <w:szCs w:val="20"/>
                              </w:rPr>
                              <w:t xml:space="preserve"> en </w:t>
                            </w:r>
                            <w:r w:rsidRPr="00EF437F">
                              <w:rPr>
                                <w:rFonts w:ascii="Arial" w:hAnsi="Arial" w:cs="Arial"/>
                                <w:b/>
                                <w:sz w:val="20"/>
                                <w:szCs w:val="20"/>
                              </w:rPr>
                              <w:t>641 cursos</w:t>
                            </w:r>
                          </w:p>
                          <w:p w:rsidR="00124814" w:rsidRPr="00EF437F" w:rsidRDefault="00124814" w:rsidP="00124814">
                            <w:pPr>
                              <w:spacing w:line="240" w:lineRule="auto"/>
                              <w:jc w:val="center"/>
                              <w:rPr>
                                <w:rFonts w:ascii="Arial" w:hAnsi="Arial" w:cs="Arial"/>
                                <w:b/>
                                <w:sz w:val="20"/>
                                <w:szCs w:val="20"/>
                              </w:rPr>
                            </w:pPr>
                          </w:p>
                          <w:p w:rsidR="00124814" w:rsidRPr="00EF437F" w:rsidRDefault="00124814" w:rsidP="00124814">
                            <w:pPr>
                              <w:spacing w:line="240" w:lineRule="auto"/>
                              <w:jc w:val="center"/>
                              <w:rPr>
                                <w:rFonts w:ascii="Arial" w:hAnsi="Arial" w:cs="Arial"/>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4C8B45" id="Rectángulo redondeado 12" o:spid="_x0000_s1026" style="position:absolute;left:0;text-align:left;margin-left:252pt;margin-top:8.25pt;width:180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DYiwIAALUEAAAOAAAAZHJzL2Uyb0RvYy54bWysVG2O0zAQ/Y/EHSz/z+Zj0yaNNl213Q1C&#10;WmDFwgHc2GkCiSfYbtOCOAxn4WKMnexugX8IVbIynpk38+Z5enV97FpyEEo3IHMaXgSUCFkCb+Qu&#10;px8/FF5KiTZMctaCFDk9CU2vly9fXA19JiKooeVCEQSROhv6nNbG9Jnv67IWHdMX0AuJzgpUxwya&#10;audzxQZE71o/CoK5P4DivYJSaI23N6OTLh1+VYnSvKsqLQxpc4q9GXcqd27t6S+vWLZTrK+bcmqD&#10;/UMXHWskFn2CumGGkb1q/oLqmlKBhspclND5UFVNKRwHZBMGf7B5qFkvHBccju6fxqT/H2z59nCv&#10;SMNRu4gSyTrU6D1O7ecPudu3QJTgILlgHAgG4LSGXmeY9NDfK8tX93dQftZEwqZmcidWSsFQYzz2&#10;GNp4/7cEa2hMJdvhDXCsxfYG3OCOleosII6EHJ0+pyd9xNGQEi+jKJ0HAcpYoi+N0iB2Avose8zu&#10;lTavBHTEfuRUwV5yS8eVYIc7bZxIfGLK+CdKqq5FyQ+sJeF8Pk9c0yybghH7EdPRhbbhRdO2zlC7&#10;7aZVBFNzui7sb0rW52GttMESbJodCMvGG+GeJ7bk3iBynLqzbN3T+bYIozhYRwuvmKeJF1fxzFsk&#10;QeoF4WK9mAfxIr4pvtuSLHtOWhWzIIkvUy9JZpdefCkCb50WG2+1QXrJ7Xqzvg1dEjbyWNSJZHUZ&#10;9TXH7RFRrVhb4CeUS8G4Objp+FGD+krJgFuTU/1lz5SgpH0tUfJFGKMmxDgjniURGurcsz33MFki&#10;VE5LoygZjY0Zl3Pfq2ZXY63QSSdhhQ+lauysXLNjX5OBu+HmOu2xXb5z20U9/9ssfwEAAP//AwBQ&#10;SwMEFAAGAAgAAAAhAKPbz67hAAAACgEAAA8AAABkcnMvZG93bnJldi54bWxMj0tPwzAQhO9I/Adr&#10;kbhRG9RGaYhTIaQKIYTog4e4ucmSRMTrEDut++/ZnuC4M6PZb/JFtJ3Y4+BbRxquJwoEUumqlmoN&#10;r9vlVQrCB0OV6RyhhiN6WBTnZ7nJKnegNe43oRZcQj4zGpoQ+kxKXzZojZ+4Hom9LzdYE/gcalkN&#10;5sDltpM3SiXSmpb4Q2N6vG+w/N6MVsMq3T6vH+PDz/xlNX706vPt6T0utb68iHe3IALG8BeGEz6j&#10;Q8FMOzdS5UWnYaamvCWwkcxAcCBNTsKOhWkyB1nk8v+E4hcAAP//AwBQSwECLQAUAAYACAAAACEA&#10;toM4kv4AAADhAQAAEwAAAAAAAAAAAAAAAAAAAAAAW0NvbnRlbnRfVHlwZXNdLnhtbFBLAQItABQA&#10;BgAIAAAAIQA4/SH/1gAAAJQBAAALAAAAAAAAAAAAAAAAAC8BAABfcmVscy8ucmVsc1BLAQItABQA&#10;BgAIAAAAIQDipeDYiwIAALUEAAAOAAAAAAAAAAAAAAAAAC4CAABkcnMvZTJvRG9jLnhtbFBLAQIt&#10;ABQABgAIAAAAIQCj28+u4QAAAAoBAAAPAAAAAAAAAAAAAAAAAOUEAABkcnMvZG93bnJldi54bWxQ&#10;SwUGAAAAAAQABADzAAAA8wUAAAAA&#10;" fillcolor="#bfbfbf" stroked="f">
                <v:textbox>
                  <w:txbxContent>
                    <w:p w:rsidR="00124814" w:rsidRPr="00EF437F" w:rsidRDefault="00124814" w:rsidP="00124814">
                      <w:pPr>
                        <w:spacing w:line="240" w:lineRule="auto"/>
                        <w:jc w:val="center"/>
                        <w:rPr>
                          <w:rFonts w:ascii="Arial" w:hAnsi="Arial" w:cs="Arial"/>
                          <w:sz w:val="20"/>
                          <w:szCs w:val="20"/>
                        </w:rPr>
                      </w:pPr>
                      <w:r w:rsidRPr="00EF437F">
                        <w:rPr>
                          <w:rFonts w:ascii="Arial" w:hAnsi="Arial" w:cs="Arial"/>
                          <w:b/>
                          <w:sz w:val="20"/>
                          <w:szCs w:val="20"/>
                        </w:rPr>
                        <w:t xml:space="preserve">22.129 alumnos </w:t>
                      </w:r>
                      <w:r w:rsidRPr="00EF437F">
                        <w:rPr>
                          <w:rFonts w:ascii="Arial" w:hAnsi="Arial" w:cs="Arial"/>
                          <w:sz w:val="20"/>
                          <w:szCs w:val="20"/>
                        </w:rPr>
                        <w:t xml:space="preserve">de la US formados en CI (16% más que en 2014), para lo que se invirtió </w:t>
                      </w:r>
                      <w:r w:rsidRPr="00EF437F">
                        <w:rPr>
                          <w:rFonts w:ascii="Arial" w:hAnsi="Arial" w:cs="Arial"/>
                          <w:b/>
                          <w:sz w:val="20"/>
                          <w:szCs w:val="20"/>
                        </w:rPr>
                        <w:t>2.027 h</w:t>
                      </w:r>
                      <w:r>
                        <w:rPr>
                          <w:rFonts w:ascii="Arial" w:hAnsi="Arial" w:cs="Arial"/>
                          <w:b/>
                          <w:sz w:val="20"/>
                          <w:szCs w:val="20"/>
                        </w:rPr>
                        <w:t>.</w:t>
                      </w:r>
                      <w:r w:rsidRPr="00EF437F">
                        <w:rPr>
                          <w:rFonts w:ascii="Arial" w:hAnsi="Arial" w:cs="Arial"/>
                          <w:sz w:val="20"/>
                          <w:szCs w:val="20"/>
                        </w:rPr>
                        <w:t xml:space="preserve"> en </w:t>
                      </w:r>
                      <w:r w:rsidRPr="00EF437F">
                        <w:rPr>
                          <w:rFonts w:ascii="Arial" w:hAnsi="Arial" w:cs="Arial"/>
                          <w:b/>
                          <w:sz w:val="20"/>
                          <w:szCs w:val="20"/>
                        </w:rPr>
                        <w:t>641 cursos</w:t>
                      </w:r>
                    </w:p>
                    <w:p w:rsidR="00124814" w:rsidRPr="00EF437F" w:rsidRDefault="00124814" w:rsidP="00124814">
                      <w:pPr>
                        <w:spacing w:line="240" w:lineRule="auto"/>
                        <w:jc w:val="center"/>
                        <w:rPr>
                          <w:rFonts w:ascii="Arial" w:hAnsi="Arial" w:cs="Arial"/>
                          <w:b/>
                          <w:sz w:val="20"/>
                          <w:szCs w:val="20"/>
                        </w:rPr>
                      </w:pPr>
                    </w:p>
                    <w:p w:rsidR="00124814" w:rsidRPr="00EF437F" w:rsidRDefault="00124814" w:rsidP="00124814">
                      <w:pPr>
                        <w:spacing w:line="240" w:lineRule="auto"/>
                        <w:jc w:val="center"/>
                        <w:rPr>
                          <w:rFonts w:ascii="Arial" w:hAnsi="Arial" w:cs="Arial"/>
                          <w:color w:val="FFFFFF" w:themeColor="background1"/>
                          <w:sz w:val="20"/>
                          <w:szCs w:val="20"/>
                        </w:rPr>
                      </w:pPr>
                    </w:p>
                  </w:txbxContent>
                </v:textbox>
                <w10:wrap type="through"/>
              </v:roundrect>
            </w:pict>
          </mc:Fallback>
        </mc:AlternateContent>
      </w:r>
      <w:r w:rsidR="00124814" w:rsidRPr="00C3407C">
        <w:rPr>
          <w:rFonts w:asciiTheme="majorHAnsi" w:hAnsiTheme="majorHAnsi"/>
          <w:sz w:val="24"/>
          <w:szCs w:val="24"/>
        </w:rPr>
        <w:t>La formación de usuarios se desarrolla en la BUS desde hace años, es un proceso clave del MP y su evolución se evidencia por varios indicadores, que se controlan desde ICASUS, (herramienta de gestión de la calidad de la US), con datos desde 2008. El incremento de usuarios formados es constante, desde los 10.652 en el 2008  a más de 22.000 en el 2015 y demuestra la fortaleza de este servicio y el creciente interés de la comunidad universitaria en el mismo.</w:t>
      </w:r>
    </w:p>
    <w:p w:rsidR="00124814" w:rsidRDefault="00124814" w:rsidP="00124814">
      <w:pPr>
        <w:jc w:val="center"/>
        <w:rPr>
          <w:rFonts w:cs="Arial"/>
        </w:rPr>
      </w:pPr>
      <w:r w:rsidRPr="00AA69E5">
        <w:rPr>
          <w:rFonts w:cs="Arial"/>
          <w:noProof/>
          <w:lang w:eastAsia="es-ES"/>
        </w:rPr>
        <w:drawing>
          <wp:inline distT="0" distB="0" distL="0" distR="0" wp14:anchorId="064FA430" wp14:editId="385A801B">
            <wp:extent cx="4687570" cy="2092036"/>
            <wp:effectExtent l="0" t="0" r="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4814" w:rsidRPr="00C3407C" w:rsidRDefault="00124814" w:rsidP="00124814">
      <w:pPr>
        <w:jc w:val="both"/>
        <w:rPr>
          <w:rFonts w:ascii="Arial Narrow" w:hAnsi="Arial Narrow" w:cstheme="minorHAnsi"/>
          <w:i/>
          <w:sz w:val="20"/>
          <w:szCs w:val="20"/>
          <w:lang w:val="es-ES_tradnl"/>
        </w:rPr>
      </w:pPr>
      <w:r>
        <w:rPr>
          <w:rFonts w:ascii="Arial Narrow" w:hAnsi="Arial Narrow"/>
          <w:bCs/>
          <w:sz w:val="18"/>
          <w:szCs w:val="18"/>
        </w:rPr>
        <w:tab/>
      </w:r>
      <w:r w:rsidRPr="007522BD">
        <w:rPr>
          <w:rFonts w:cstheme="minorHAnsi"/>
          <w:bCs/>
          <w:sz w:val="16"/>
          <w:szCs w:val="16"/>
        </w:rPr>
        <w:tab/>
      </w:r>
      <w:r w:rsidR="007522BD" w:rsidRPr="00C3407C">
        <w:rPr>
          <w:rFonts w:ascii="Arial Narrow" w:hAnsi="Arial Narrow" w:cstheme="minorHAnsi"/>
          <w:bCs/>
          <w:i/>
          <w:sz w:val="20"/>
          <w:szCs w:val="20"/>
        </w:rPr>
        <w:t xml:space="preserve">Gráfico 1. </w:t>
      </w:r>
      <w:r w:rsidRPr="00C3407C">
        <w:rPr>
          <w:rFonts w:ascii="Arial Narrow" w:hAnsi="Arial Narrow" w:cstheme="minorHAnsi"/>
          <w:bCs/>
          <w:i/>
          <w:sz w:val="20"/>
          <w:szCs w:val="20"/>
        </w:rPr>
        <w:t>Evolución de asistentes a cursos de formación en la BUS, 2008-2015</w:t>
      </w:r>
    </w:p>
    <w:p w:rsidR="00124814" w:rsidRDefault="00124814" w:rsidP="00124814">
      <w:pPr>
        <w:jc w:val="both"/>
        <w:rPr>
          <w:rFonts w:cs="Arial"/>
        </w:rPr>
      </w:pPr>
    </w:p>
    <w:p w:rsidR="00124814" w:rsidRPr="00C3407C" w:rsidRDefault="00124814" w:rsidP="00124814">
      <w:pPr>
        <w:jc w:val="both"/>
        <w:rPr>
          <w:rFonts w:asciiTheme="majorHAnsi" w:hAnsiTheme="majorHAnsi" w:cs="Arial"/>
          <w:sz w:val="24"/>
          <w:szCs w:val="24"/>
        </w:rPr>
      </w:pPr>
      <w:r w:rsidRPr="00C3407C">
        <w:rPr>
          <w:rFonts w:asciiTheme="majorHAnsi" w:hAnsiTheme="majorHAnsi" w:cs="Minion-Regular"/>
          <w:sz w:val="24"/>
          <w:szCs w:val="24"/>
        </w:rPr>
        <w:t xml:space="preserve">El </w:t>
      </w:r>
      <w:r w:rsidRPr="00C3407C">
        <w:rPr>
          <w:rFonts w:asciiTheme="majorHAnsi" w:hAnsiTheme="majorHAnsi" w:cs="Arial"/>
          <w:i/>
          <w:sz w:val="24"/>
          <w:szCs w:val="24"/>
        </w:rPr>
        <w:t>I Plan de Acción del Programa de Competencias informacionales de la BUS</w:t>
      </w:r>
      <w:r w:rsidRPr="00C3407C">
        <w:rPr>
          <w:rFonts w:asciiTheme="majorHAnsi" w:hAnsiTheme="majorHAnsi" w:cs="Arial"/>
          <w:sz w:val="24"/>
          <w:szCs w:val="24"/>
        </w:rPr>
        <w:t>, del año 2010, marca como camino la integración de esta formación en los estudios de la US, concretamente en una asignatura troncal u optativa de forma que todos los alumnos de un grado reciban el mismo nivel de formación. Estos niveles, progresivos, son:</w:t>
      </w:r>
    </w:p>
    <w:p w:rsidR="00124814" w:rsidRPr="00C3407C" w:rsidRDefault="00124814" w:rsidP="00124814">
      <w:pPr>
        <w:pStyle w:val="Prrafodelista"/>
        <w:numPr>
          <w:ilvl w:val="0"/>
          <w:numId w:val="3"/>
        </w:numPr>
        <w:tabs>
          <w:tab w:val="left" w:pos="708"/>
        </w:tabs>
        <w:suppressAutoHyphens/>
        <w:spacing w:after="0" w:line="100" w:lineRule="atLeast"/>
        <w:contextualSpacing w:val="0"/>
        <w:jc w:val="both"/>
        <w:rPr>
          <w:rFonts w:asciiTheme="majorHAnsi" w:hAnsiTheme="majorHAnsi"/>
          <w:sz w:val="24"/>
          <w:szCs w:val="24"/>
        </w:rPr>
      </w:pPr>
      <w:r w:rsidRPr="00C3407C">
        <w:rPr>
          <w:rFonts w:asciiTheme="majorHAnsi" w:hAnsiTheme="majorHAnsi"/>
          <w:sz w:val="24"/>
          <w:szCs w:val="24"/>
        </w:rPr>
        <w:lastRenderedPageBreak/>
        <w:t xml:space="preserve">Nivel 1: nivel básico orientado sobre todo a los alumnos de nuevo ingreso y representado por el Curso de Orientación al Estudio, COE  y otros cursos básicos. </w:t>
      </w:r>
    </w:p>
    <w:p w:rsidR="00124814" w:rsidRPr="00C3407C" w:rsidRDefault="00124814" w:rsidP="00124814">
      <w:pPr>
        <w:pStyle w:val="Prrafodelista"/>
        <w:numPr>
          <w:ilvl w:val="0"/>
          <w:numId w:val="3"/>
        </w:numPr>
        <w:tabs>
          <w:tab w:val="left" w:pos="708"/>
        </w:tabs>
        <w:suppressAutoHyphens/>
        <w:spacing w:after="0" w:line="100" w:lineRule="atLeast"/>
        <w:contextualSpacing w:val="0"/>
        <w:jc w:val="both"/>
        <w:rPr>
          <w:rFonts w:asciiTheme="majorHAnsi" w:hAnsiTheme="majorHAnsi"/>
          <w:sz w:val="24"/>
          <w:szCs w:val="24"/>
        </w:rPr>
      </w:pPr>
      <w:r w:rsidRPr="00C3407C">
        <w:rPr>
          <w:rFonts w:asciiTheme="majorHAnsi" w:hAnsiTheme="majorHAnsi"/>
          <w:sz w:val="24"/>
          <w:szCs w:val="24"/>
        </w:rPr>
        <w:t>Nivel 2: dirigido a los alumnos de 2º y 3º de grado.</w:t>
      </w:r>
    </w:p>
    <w:p w:rsidR="00124814" w:rsidRPr="00C3407C" w:rsidRDefault="00124814" w:rsidP="00124814">
      <w:pPr>
        <w:pStyle w:val="Prrafodelista"/>
        <w:numPr>
          <w:ilvl w:val="0"/>
          <w:numId w:val="3"/>
        </w:numPr>
        <w:tabs>
          <w:tab w:val="left" w:pos="708"/>
        </w:tabs>
        <w:suppressAutoHyphens/>
        <w:spacing w:after="0" w:line="100" w:lineRule="atLeast"/>
        <w:contextualSpacing w:val="0"/>
        <w:jc w:val="both"/>
        <w:rPr>
          <w:rFonts w:asciiTheme="majorHAnsi" w:hAnsiTheme="majorHAnsi"/>
          <w:sz w:val="24"/>
          <w:szCs w:val="24"/>
        </w:rPr>
      </w:pPr>
      <w:r w:rsidRPr="00C3407C">
        <w:rPr>
          <w:rFonts w:asciiTheme="majorHAnsi" w:hAnsiTheme="majorHAnsi"/>
          <w:sz w:val="24"/>
          <w:szCs w:val="24"/>
        </w:rPr>
        <w:t xml:space="preserve">Nivel 3: orientado a los alumnos de último curso, en concreto a la elaboración del  TFG. </w:t>
      </w:r>
    </w:p>
    <w:p w:rsidR="00124814" w:rsidRPr="00C3407C" w:rsidRDefault="00124814" w:rsidP="00124814">
      <w:pPr>
        <w:pStyle w:val="Prrafodelista"/>
        <w:numPr>
          <w:ilvl w:val="0"/>
          <w:numId w:val="3"/>
        </w:numPr>
        <w:tabs>
          <w:tab w:val="left" w:pos="708"/>
        </w:tabs>
        <w:suppressAutoHyphens/>
        <w:spacing w:after="0" w:line="100" w:lineRule="atLeast"/>
        <w:contextualSpacing w:val="0"/>
        <w:jc w:val="both"/>
        <w:rPr>
          <w:rFonts w:asciiTheme="majorHAnsi" w:hAnsiTheme="majorHAnsi"/>
          <w:sz w:val="24"/>
          <w:szCs w:val="24"/>
        </w:rPr>
      </w:pPr>
      <w:r w:rsidRPr="00C3407C">
        <w:rPr>
          <w:rFonts w:asciiTheme="majorHAnsi" w:hAnsiTheme="majorHAnsi"/>
          <w:sz w:val="24"/>
          <w:szCs w:val="24"/>
        </w:rPr>
        <w:t>Nivel 4: enfocado a los posgrados y al PDI.</w:t>
      </w:r>
    </w:p>
    <w:p w:rsidR="00124814" w:rsidRPr="00C3407C" w:rsidRDefault="00124814" w:rsidP="00124814">
      <w:pPr>
        <w:pStyle w:val="Prrafodelista"/>
        <w:jc w:val="both"/>
        <w:rPr>
          <w:rFonts w:asciiTheme="majorHAnsi" w:hAnsiTheme="majorHAnsi"/>
          <w:sz w:val="24"/>
          <w:szCs w:val="24"/>
        </w:rPr>
      </w:pPr>
    </w:p>
    <w:p w:rsidR="00124814" w:rsidRPr="00C3407C" w:rsidRDefault="00C3407C" w:rsidP="00124814">
      <w:pPr>
        <w:jc w:val="both"/>
        <w:rPr>
          <w:rFonts w:asciiTheme="majorHAnsi" w:hAnsiTheme="majorHAnsi"/>
          <w:sz w:val="24"/>
          <w:szCs w:val="24"/>
        </w:rPr>
      </w:pPr>
      <w:r w:rsidRPr="00C3407C">
        <w:rPr>
          <w:rFonts w:asciiTheme="majorHAnsi" w:hAnsiTheme="majorHAnsi" w:cs="Times New Roman"/>
          <w:noProof/>
          <w:sz w:val="24"/>
          <w:szCs w:val="24"/>
          <w:lang w:eastAsia="es-ES"/>
        </w:rPr>
        <w:drawing>
          <wp:anchor distT="0" distB="0" distL="114300" distR="114300" simplePos="0" relativeHeight="251661312" behindDoc="0" locked="0" layoutInCell="1" allowOverlap="1" wp14:anchorId="379910CE" wp14:editId="06268FF2">
            <wp:simplePos x="0" y="0"/>
            <wp:positionH relativeFrom="column">
              <wp:posOffset>27305</wp:posOffset>
            </wp:positionH>
            <wp:positionV relativeFrom="paragraph">
              <wp:posOffset>917575</wp:posOffset>
            </wp:positionV>
            <wp:extent cx="5309235" cy="2853690"/>
            <wp:effectExtent l="0" t="0" r="5715" b="3810"/>
            <wp:wrapSquare wrapText="bothSides"/>
            <wp:docPr id="58"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124814" w:rsidRPr="00C3407C">
        <w:rPr>
          <w:rFonts w:asciiTheme="majorHAnsi" w:hAnsiTheme="majorHAnsi" w:cs="Arial"/>
          <w:sz w:val="24"/>
          <w:szCs w:val="24"/>
        </w:rPr>
        <w:t xml:space="preserve">Nuestra experiencia en este área </w:t>
      </w:r>
      <w:r w:rsidR="00124814" w:rsidRPr="00C3407C">
        <w:rPr>
          <w:rFonts w:asciiTheme="majorHAnsi" w:hAnsiTheme="majorHAnsi" w:cs="Minion-Regular"/>
          <w:sz w:val="24"/>
          <w:szCs w:val="24"/>
        </w:rPr>
        <w:t>nos demuestra que es el camino idóneo y n</w:t>
      </w:r>
      <w:r w:rsidR="00124814" w:rsidRPr="00C3407C">
        <w:rPr>
          <w:rFonts w:asciiTheme="majorHAnsi" w:hAnsiTheme="majorHAnsi"/>
          <w:sz w:val="24"/>
          <w:szCs w:val="24"/>
        </w:rPr>
        <w:t xml:space="preserve">uestro objetivo es llegar al 100 % de integración en los estudios US para formar al 100 % del alumnado. En el año 2015 estamos presentes en el 74 % de los grados ofertados por </w:t>
      </w:r>
      <w:r>
        <w:rPr>
          <w:rFonts w:asciiTheme="majorHAnsi" w:hAnsiTheme="majorHAnsi"/>
          <w:sz w:val="24"/>
          <w:szCs w:val="24"/>
        </w:rPr>
        <w:t>la US.</w:t>
      </w:r>
    </w:p>
    <w:p w:rsidR="00124814" w:rsidRPr="00C3407C" w:rsidRDefault="007522BD" w:rsidP="00C3407C">
      <w:pPr>
        <w:pStyle w:val="Descripcin"/>
        <w:jc w:val="center"/>
        <w:rPr>
          <w:rFonts w:ascii="Arial Narrow" w:hAnsi="Arial Narrow" w:cstheme="minorHAnsi"/>
          <w:b w:val="0"/>
          <w:i/>
          <w:color w:val="auto"/>
          <w:sz w:val="20"/>
          <w:szCs w:val="20"/>
        </w:rPr>
      </w:pPr>
      <w:r w:rsidRPr="00C3407C">
        <w:rPr>
          <w:rFonts w:ascii="Arial Narrow" w:hAnsi="Arial Narrow" w:cstheme="minorHAnsi"/>
          <w:b w:val="0"/>
          <w:i/>
          <w:color w:val="auto"/>
          <w:sz w:val="20"/>
          <w:szCs w:val="20"/>
        </w:rPr>
        <w:t xml:space="preserve">Gráfico 2. </w:t>
      </w:r>
      <w:r w:rsidR="00124814" w:rsidRPr="00C3407C">
        <w:rPr>
          <w:rFonts w:ascii="Arial Narrow" w:hAnsi="Arial Narrow" w:cstheme="minorHAnsi"/>
          <w:b w:val="0"/>
          <w:i/>
          <w:color w:val="auto"/>
          <w:sz w:val="20"/>
          <w:szCs w:val="20"/>
        </w:rPr>
        <w:t>Comparativa de los grados ofertados y los grados que integran las CI en sus titulaciones por Bibliotecas de Área en 2015</w:t>
      </w:r>
    </w:p>
    <w:p w:rsidR="00124814" w:rsidRPr="00C3407C" w:rsidRDefault="00124814" w:rsidP="00C3407C">
      <w:pPr>
        <w:jc w:val="center"/>
        <w:rPr>
          <w:rFonts w:ascii="Arial Narrow" w:hAnsi="Arial Narrow"/>
          <w:i/>
          <w:sz w:val="20"/>
          <w:szCs w:val="20"/>
          <w:lang w:val="es-ES_tradnl"/>
        </w:rPr>
      </w:pP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Si observamos este gráfico se puede ver que las CI están integradas al 100 % en las titulaciones que se imparten en las Facultades de las siguientes Bibliotecas: Arquitectura, Bellas Artes, Ciencias de la Educación, Centros de la Salud,</w:t>
      </w:r>
      <w:r w:rsidR="00B21717" w:rsidRPr="00C3407C">
        <w:rPr>
          <w:rFonts w:asciiTheme="majorHAnsi" w:hAnsiTheme="majorHAnsi"/>
          <w:sz w:val="24"/>
          <w:szCs w:val="24"/>
        </w:rPr>
        <w:t xml:space="preserve"> Derecho y Ciencias del Trabajo,</w:t>
      </w:r>
      <w:r w:rsidRPr="00C3407C">
        <w:rPr>
          <w:rFonts w:asciiTheme="majorHAnsi" w:hAnsiTheme="majorHAnsi"/>
          <w:sz w:val="24"/>
          <w:szCs w:val="24"/>
        </w:rPr>
        <w:t xml:space="preserve"> Económicas y Empresariales, Filosofía y Psicología, Ingeniería, Politécnica y Turismo y Finanzas. </w:t>
      </w:r>
    </w:p>
    <w:p w:rsidR="00B21717" w:rsidRPr="00C3407C" w:rsidRDefault="00B21717" w:rsidP="00124814">
      <w:pPr>
        <w:jc w:val="both"/>
        <w:rPr>
          <w:rFonts w:asciiTheme="majorHAnsi" w:hAnsiTheme="majorHAnsi"/>
          <w:sz w:val="24"/>
          <w:szCs w:val="24"/>
        </w:rPr>
      </w:pPr>
      <w:r w:rsidRPr="00C3407C">
        <w:rPr>
          <w:rFonts w:asciiTheme="majorHAnsi" w:hAnsiTheme="majorHAnsi"/>
          <w:sz w:val="24"/>
          <w:szCs w:val="24"/>
        </w:rPr>
        <w:t>La mayoría de estos cursos organizados por la Biblioteca están recogidos en los Planes de Orientación y Acción Tutorial de cada Centro (POAT).</w:t>
      </w: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La satisfacción de los  usuarios de estos cursos es muy alta y un ejemplo es el Curso COE con una valoración de 4.2 sobre 5.</w:t>
      </w: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 xml:space="preserve">Pero nuestra participación no se limita a la formación dentro de los grados. También se dirige al PDI,  dentro del </w:t>
      </w:r>
      <w:r w:rsidRPr="00C3407C">
        <w:rPr>
          <w:rFonts w:asciiTheme="majorHAnsi" w:hAnsiTheme="majorHAnsi"/>
          <w:i/>
          <w:sz w:val="24"/>
          <w:szCs w:val="24"/>
        </w:rPr>
        <w:t>Programa de Formación del PDI de la US</w:t>
      </w:r>
      <w:r w:rsidRPr="00C3407C">
        <w:rPr>
          <w:rFonts w:asciiTheme="majorHAnsi" w:hAnsiTheme="majorHAnsi"/>
          <w:sz w:val="24"/>
          <w:szCs w:val="24"/>
        </w:rPr>
        <w:t xml:space="preserve">, a cargo del </w:t>
      </w:r>
      <w:r w:rsidRPr="00C3407C">
        <w:rPr>
          <w:rFonts w:asciiTheme="majorHAnsi" w:hAnsiTheme="majorHAnsi"/>
          <w:i/>
          <w:sz w:val="24"/>
          <w:szCs w:val="24"/>
        </w:rPr>
        <w:lastRenderedPageBreak/>
        <w:t>Secretario de Formación y Evaluación</w:t>
      </w:r>
      <w:r w:rsidRPr="00C3407C">
        <w:rPr>
          <w:rFonts w:asciiTheme="majorHAnsi" w:hAnsiTheme="majorHAnsi"/>
          <w:sz w:val="24"/>
          <w:szCs w:val="24"/>
        </w:rPr>
        <w:t xml:space="preserve">, o bien de forma complementaria a este plan formativo, y a los doctorandos, dentro del </w:t>
      </w:r>
      <w:r w:rsidRPr="00C3407C">
        <w:rPr>
          <w:rFonts w:asciiTheme="majorHAnsi" w:hAnsiTheme="majorHAnsi"/>
          <w:i/>
          <w:sz w:val="24"/>
          <w:szCs w:val="24"/>
        </w:rPr>
        <w:t>Plan de Formación en competencias transversales</w:t>
      </w:r>
      <w:r w:rsidRPr="00C3407C">
        <w:rPr>
          <w:rFonts w:asciiTheme="majorHAnsi" w:hAnsiTheme="majorHAnsi"/>
          <w:sz w:val="24"/>
          <w:szCs w:val="24"/>
        </w:rPr>
        <w:t xml:space="preserve"> de la </w:t>
      </w:r>
      <w:r w:rsidRPr="00C3407C">
        <w:rPr>
          <w:rFonts w:asciiTheme="majorHAnsi" w:hAnsiTheme="majorHAnsi"/>
          <w:i/>
          <w:sz w:val="24"/>
          <w:szCs w:val="24"/>
        </w:rPr>
        <w:t>Escuela Internacional de Doctorado</w:t>
      </w:r>
      <w:r w:rsidRPr="00C3407C">
        <w:rPr>
          <w:rFonts w:asciiTheme="majorHAnsi" w:hAnsiTheme="majorHAnsi"/>
          <w:sz w:val="24"/>
          <w:szCs w:val="24"/>
        </w:rPr>
        <w:t>.</w:t>
      </w: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En el 2015 se han impartido 63 cursos dirigidos a estos dos colectivos, y han asistido 1.006 personas.  Son cursos centrados, por ejemplo en la búsqueda de indicadores bibliométricos para la obtención de sexenios o certificaciones ANECA; estrategias de publicación científica; visibilidad y métricas, etc.</w:t>
      </w:r>
    </w:p>
    <w:p w:rsidR="00124814" w:rsidRPr="00C3407C" w:rsidRDefault="00124814" w:rsidP="00124814">
      <w:pPr>
        <w:jc w:val="both"/>
        <w:rPr>
          <w:rFonts w:asciiTheme="majorHAnsi" w:hAnsiTheme="majorHAnsi" w:cs="Arial"/>
          <w:bCs/>
          <w:sz w:val="24"/>
          <w:szCs w:val="24"/>
        </w:rPr>
      </w:pPr>
      <w:r w:rsidRPr="00C3407C">
        <w:rPr>
          <w:rFonts w:asciiTheme="majorHAnsi" w:hAnsiTheme="majorHAnsi"/>
          <w:sz w:val="24"/>
          <w:szCs w:val="24"/>
        </w:rPr>
        <w:t xml:space="preserve">El éxito de los cursos que se imparten dentro de este </w:t>
      </w:r>
      <w:r w:rsidRPr="00C3407C">
        <w:rPr>
          <w:rFonts w:asciiTheme="majorHAnsi" w:hAnsiTheme="majorHAnsi"/>
          <w:i/>
          <w:sz w:val="24"/>
          <w:szCs w:val="24"/>
        </w:rPr>
        <w:t>Plan de Formación,</w:t>
      </w:r>
      <w:r w:rsidRPr="00C3407C">
        <w:rPr>
          <w:rFonts w:asciiTheme="majorHAnsi" w:hAnsiTheme="majorHAnsi"/>
          <w:sz w:val="24"/>
          <w:szCs w:val="24"/>
        </w:rPr>
        <w:t xml:space="preserve"> desde el 2014, y la magnífica acogida que reciben en nuestra comunidad, se refleja en la lista de espera de más de 200 personas del </w:t>
      </w:r>
      <w:r w:rsidRPr="00C3407C">
        <w:rPr>
          <w:rFonts w:asciiTheme="majorHAnsi" w:hAnsiTheme="majorHAnsi"/>
          <w:i/>
          <w:sz w:val="24"/>
          <w:szCs w:val="24"/>
        </w:rPr>
        <w:t>Curso</w:t>
      </w:r>
      <w:r w:rsidRPr="00C3407C">
        <w:rPr>
          <w:rFonts w:asciiTheme="majorHAnsi" w:hAnsiTheme="majorHAnsi" w:cs="Arial"/>
          <w:bCs/>
          <w:i/>
          <w:sz w:val="24"/>
          <w:szCs w:val="24"/>
        </w:rPr>
        <w:t xml:space="preserve"> para doctorandos sobre búsqueda y gestión de la información bibliográfica</w:t>
      </w:r>
      <w:r w:rsidRPr="00C3407C">
        <w:rPr>
          <w:rFonts w:asciiTheme="majorHAnsi" w:hAnsiTheme="majorHAnsi" w:cs="Arial"/>
          <w:bCs/>
          <w:sz w:val="24"/>
          <w:szCs w:val="24"/>
        </w:rPr>
        <w:t xml:space="preserve">, ofertado en octubre de 2016. </w:t>
      </w:r>
    </w:p>
    <w:p w:rsidR="00124814" w:rsidRPr="00C3407C" w:rsidRDefault="00124814" w:rsidP="00124814">
      <w:pPr>
        <w:jc w:val="both"/>
        <w:rPr>
          <w:rFonts w:asciiTheme="majorHAnsi" w:hAnsiTheme="majorHAnsi" w:cs="Arial"/>
          <w:bCs/>
          <w:sz w:val="24"/>
          <w:szCs w:val="24"/>
        </w:rPr>
      </w:pPr>
      <w:r w:rsidRPr="00C3407C">
        <w:rPr>
          <w:rFonts w:asciiTheme="majorHAnsi" w:hAnsiTheme="majorHAnsi" w:cs="Arial"/>
          <w:bCs/>
          <w:sz w:val="24"/>
          <w:szCs w:val="24"/>
        </w:rPr>
        <w:t>La valoración del PDI de estos cursos es muy alta, en el 2015 fue de 4.73 sobre 5.</w:t>
      </w:r>
    </w:p>
    <w:p w:rsidR="00124814" w:rsidRPr="00C3407C" w:rsidRDefault="0017177C" w:rsidP="00124814">
      <w:pPr>
        <w:jc w:val="both"/>
        <w:rPr>
          <w:rFonts w:asciiTheme="majorHAnsi" w:hAnsiTheme="majorHAnsi"/>
          <w:sz w:val="24"/>
          <w:szCs w:val="24"/>
        </w:rPr>
      </w:pPr>
      <w:r w:rsidRPr="00C3407C">
        <w:rPr>
          <w:rFonts w:asciiTheme="majorHAnsi" w:hAnsiTheme="majorHAnsi"/>
          <w:noProof/>
          <w:sz w:val="24"/>
          <w:szCs w:val="24"/>
          <w:lang w:eastAsia="es-ES"/>
        </w:rPr>
        <w:drawing>
          <wp:anchor distT="0" distB="0" distL="114300" distR="114300" simplePos="0" relativeHeight="251659264" behindDoc="0" locked="0" layoutInCell="1" allowOverlap="1" wp14:anchorId="086B75C1" wp14:editId="1D91307B">
            <wp:simplePos x="0" y="0"/>
            <wp:positionH relativeFrom="column">
              <wp:posOffset>-114300</wp:posOffset>
            </wp:positionH>
            <wp:positionV relativeFrom="paragraph">
              <wp:posOffset>82203</wp:posOffset>
            </wp:positionV>
            <wp:extent cx="3281680" cy="2509520"/>
            <wp:effectExtent l="0" t="0" r="0" b="5080"/>
            <wp:wrapSquare wrapText="bothSides"/>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23387" t="10676" r="19791" b="12090"/>
                    <a:stretch/>
                  </pic:blipFill>
                  <pic:spPr bwMode="auto">
                    <a:xfrm>
                      <a:off x="0" y="0"/>
                      <a:ext cx="3281680" cy="2509520"/>
                    </a:xfrm>
                    <a:prstGeom prst="rect">
                      <a:avLst/>
                    </a:prstGeom>
                    <a:ln>
                      <a:noFill/>
                    </a:ln>
                    <a:effectLst>
                      <a:softEdge rad="112500"/>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1"/>
                          </a:solidFill>
                        </a14:hiddenFill>
                      </a:ext>
                    </a:extLst>
                  </pic:spPr>
                </pic:pic>
              </a:graphicData>
            </a:graphic>
          </wp:anchor>
        </w:drawing>
      </w:r>
      <w:r w:rsidR="00124814" w:rsidRPr="00C3407C">
        <w:rPr>
          <w:rFonts w:asciiTheme="majorHAnsi" w:hAnsiTheme="majorHAnsi"/>
          <w:sz w:val="24"/>
          <w:szCs w:val="24"/>
        </w:rPr>
        <w:t xml:space="preserve">Por otra parte, adaptándonos a los usuarios 2.0, se diseñan materiales formativos en abierto, REAs, de forma que los también los miembros de nuestra comunidad universitaria, en cualquier lugar  y en cualquier momento, puedan continuar con su aprendizaje competencial.   </w:t>
      </w:r>
    </w:p>
    <w:p w:rsidR="00124814" w:rsidRDefault="007522BD" w:rsidP="00124814">
      <w:pPr>
        <w:jc w:val="both"/>
        <w:rPr>
          <w:rFonts w:asciiTheme="majorHAnsi" w:hAnsiTheme="majorHAnsi"/>
          <w:sz w:val="24"/>
          <w:szCs w:val="24"/>
        </w:rPr>
      </w:pPr>
      <w:r w:rsidRPr="00C3407C">
        <w:rPr>
          <w:rFonts w:asciiTheme="majorHAnsi" w:hAnsiTheme="majorHAnsi"/>
          <w:noProof/>
          <w:sz w:val="24"/>
          <w:szCs w:val="24"/>
          <w:lang w:eastAsia="es-ES"/>
        </w:rPr>
        <mc:AlternateContent>
          <mc:Choice Requires="wps">
            <w:drawing>
              <wp:anchor distT="0" distB="0" distL="114300" distR="114300" simplePos="0" relativeHeight="251663360" behindDoc="0" locked="0" layoutInCell="1" allowOverlap="1" wp14:anchorId="5EC08827" wp14:editId="1B3428FF">
                <wp:simplePos x="0" y="0"/>
                <wp:positionH relativeFrom="column">
                  <wp:posOffset>299720</wp:posOffset>
                </wp:positionH>
                <wp:positionV relativeFrom="paragraph">
                  <wp:posOffset>877570</wp:posOffset>
                </wp:positionV>
                <wp:extent cx="2803525" cy="635"/>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803525" cy="635"/>
                        </a:xfrm>
                        <a:prstGeom prst="rect">
                          <a:avLst/>
                        </a:prstGeom>
                        <a:solidFill>
                          <a:prstClr val="white"/>
                        </a:solidFill>
                        <a:ln>
                          <a:noFill/>
                        </a:ln>
                        <a:effectLst/>
                      </wps:spPr>
                      <wps:txbx>
                        <w:txbxContent>
                          <w:p w:rsidR="007522BD" w:rsidRPr="00C3407C" w:rsidRDefault="007522BD" w:rsidP="00C3407C">
                            <w:pPr>
                              <w:pStyle w:val="Descripcin"/>
                              <w:jc w:val="center"/>
                              <w:rPr>
                                <w:rFonts w:ascii="Arial Narrow" w:hAnsi="Arial Narrow"/>
                                <w:b w:val="0"/>
                                <w:i/>
                                <w:noProof/>
                                <w:color w:val="auto"/>
                                <w:sz w:val="20"/>
                                <w:szCs w:val="20"/>
                              </w:rPr>
                            </w:pPr>
                            <w:r w:rsidRPr="00C3407C">
                              <w:rPr>
                                <w:rFonts w:ascii="Arial Narrow" w:hAnsi="Arial Narrow"/>
                                <w:b w:val="0"/>
                                <w:i/>
                                <w:color w:val="auto"/>
                                <w:sz w:val="20"/>
                                <w:szCs w:val="20"/>
                              </w:rPr>
                              <w:t>Figura 1. Materiales formativos y difusión de recursos de los BUS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C08827" id="_x0000_t202" coordsize="21600,21600" o:spt="202" path="m,l,21600r21600,l21600,xe">
                <v:stroke joinstyle="miter"/>
                <v:path gradientshapeok="t" o:connecttype="rect"/>
              </v:shapetype>
              <v:shape id="Cuadro de texto 3" o:spid="_x0000_s1027" type="#_x0000_t202" style="position:absolute;left:0;text-align:left;margin-left:23.6pt;margin-top:69.1pt;width:220.7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bGOAIAAHkEAAAOAAAAZHJzL2Uyb0RvYy54bWysVE1v2zAMvQ/YfxB0X5wPpCiMOEWWIsOA&#10;oC3QDj0rshwbkESNUmJnv36UbKdbt9Owi0KR1KP5HpnVXWc0Oyv0DdiCzyZTzpSVUDb2WPBvL7tP&#10;t5z5IGwpNFhV8Ivy/G798cOqdbmaQw26VMgIxPq8dQWvQ3B5lnlZKyP8BJyyFKwAjQh0xWNWomgJ&#10;3ehsPp3eZC1g6RCk8p68932QrxN+VSkZHqvKq8B0wenbQjoxnYd4ZuuVyI8oXN3I4TPEP3yFEY2l&#10;oleoexEEO2HzB5RpJIKHKkwkmAyqqpEq9UDdzKbvunmuhVOpFyLHuytN/v/ByofzE7KmLPiCMysM&#10;SbQ9iRKBlYoF1QVgi0hS63xOuc+OskP3GToSe/R7csbeuwpN/KWuGMWJ7suVYkJikpzz2+liOV9y&#10;Jil2s1hGjOztqUMfvigwLBoFR9Iv0SrOex/61DElVvKgm3LXaB0vMbDVyM6CtG7rJqgB/LcsbWOu&#10;hfiqB+w9Kg3LUCV223cVrdAdukTRteMDlBciAqGfJ+/krqHqe+HDk0AaIOqdliI80lFpaAsOg8VZ&#10;Dfjjb/6YT7pSlLOWBrLg/vtJoOJMf7WkeJze0cDROIyGPZktUN8zWjcnk0kPMOjRrBDMK+3KJlah&#10;kLCSahU8jOY29GtBuybVZpOSaEadCHv77GSEHll+6V4FukGjOCQPMI6qyN9J1ecmsdzmFIj3pGPk&#10;tWeR9I8Xmu80CcMuxgX69Z6y3v4x1j8BAAD//wMAUEsDBBQABgAIAAAAIQCHCB714AAAAAoBAAAP&#10;AAAAZHJzL2Rvd25yZXYueG1sTI8xT8MwEIV3JP6DdUgsiDo0URulcaqqggGWqqELmxtf45TYjmyn&#10;Df+egwW2u/ee3n1XrifTswv60Dkr4GmWAEPbONXZVsDh/eUxBxaitEr2zqKALwywrm5vSlkod7V7&#10;vNSxZVRiQyEF6BiHgvPQaDQyzNyAlryT80ZGWn3LlZdXKjc9nyfJghvZWbqg5YBbjc1nPRoBu+xj&#10;px/G0/PbJkv962HcLs5tLcT93bRZAYs4xb8w/OATOlTEdHSjVYH1ArLlnJKkpzkNFMjyfAns+Kuk&#10;wKuS/3+h+gYAAP//AwBQSwECLQAUAAYACAAAACEAtoM4kv4AAADhAQAAEwAAAAAAAAAAAAAAAAAA&#10;AAAAW0NvbnRlbnRfVHlwZXNdLnhtbFBLAQItABQABgAIAAAAIQA4/SH/1gAAAJQBAAALAAAAAAAA&#10;AAAAAAAAAC8BAABfcmVscy8ucmVsc1BLAQItABQABgAIAAAAIQAPCZbGOAIAAHkEAAAOAAAAAAAA&#10;AAAAAAAAAC4CAABkcnMvZTJvRG9jLnhtbFBLAQItABQABgAIAAAAIQCHCB714AAAAAoBAAAPAAAA&#10;AAAAAAAAAAAAAJIEAABkcnMvZG93bnJldi54bWxQSwUGAAAAAAQABADzAAAAnwUAAAAA&#10;" stroked="f">
                <v:textbox style="mso-fit-shape-to-text:t" inset="0,0,0,0">
                  <w:txbxContent>
                    <w:p w:rsidR="007522BD" w:rsidRPr="00C3407C" w:rsidRDefault="007522BD" w:rsidP="00C3407C">
                      <w:pPr>
                        <w:pStyle w:val="Descripcin"/>
                        <w:jc w:val="center"/>
                        <w:rPr>
                          <w:rFonts w:ascii="Arial Narrow" w:hAnsi="Arial Narrow"/>
                          <w:b w:val="0"/>
                          <w:i/>
                          <w:noProof/>
                          <w:color w:val="auto"/>
                          <w:sz w:val="20"/>
                          <w:szCs w:val="20"/>
                        </w:rPr>
                      </w:pPr>
                      <w:r w:rsidRPr="00C3407C">
                        <w:rPr>
                          <w:rFonts w:ascii="Arial Narrow" w:hAnsi="Arial Narrow"/>
                          <w:b w:val="0"/>
                          <w:i/>
                          <w:color w:val="auto"/>
                          <w:sz w:val="20"/>
                          <w:szCs w:val="20"/>
                        </w:rPr>
                        <w:t>Figura 1. Materiales formativos y difusión de recursos de los BUS</w:t>
                      </w:r>
                    </w:p>
                  </w:txbxContent>
                </v:textbox>
                <w10:wrap type="square"/>
              </v:shape>
            </w:pict>
          </mc:Fallback>
        </mc:AlternateContent>
      </w:r>
      <w:r w:rsidR="00124814" w:rsidRPr="00C3407C">
        <w:rPr>
          <w:rFonts w:asciiTheme="majorHAnsi" w:hAnsiTheme="majorHAnsi"/>
          <w:sz w:val="24"/>
          <w:szCs w:val="24"/>
        </w:rPr>
        <w:t>Un ejemplo de ellos son los tutoriales realizados con el programa Polimedia y  las Guías de la BUS, elaboradas con LibGuide</w:t>
      </w:r>
      <w:r w:rsidR="00B21717" w:rsidRPr="00C3407C">
        <w:rPr>
          <w:rFonts w:asciiTheme="majorHAnsi" w:hAnsiTheme="majorHAnsi"/>
          <w:sz w:val="24"/>
          <w:szCs w:val="24"/>
        </w:rPr>
        <w:t>s</w:t>
      </w:r>
      <w:r w:rsidR="00124814" w:rsidRPr="00C3407C">
        <w:rPr>
          <w:rFonts w:asciiTheme="majorHAnsi" w:hAnsiTheme="majorHAnsi"/>
          <w:sz w:val="24"/>
          <w:szCs w:val="24"/>
        </w:rPr>
        <w:t xml:space="preserve">, que son guías por materias con una selección de recursos de calidad por áreas del conocimiento; o guías especializadas de apoyo a la investigación (factor de impacto, cómo citar, índice H…), o al estudio y aprendizaje (idiomas, empleo, emprendimiento…) y cuyo propósito es ofrecer a la comunidad universitaria unas guías actuales, útiles, y que en 2015 alcanzaron </w:t>
      </w:r>
      <w:r w:rsidRPr="00C3407C">
        <w:rPr>
          <w:rFonts w:asciiTheme="majorHAnsi" w:hAnsiTheme="majorHAnsi"/>
          <w:sz w:val="24"/>
          <w:szCs w:val="24"/>
        </w:rPr>
        <w:t>más</w:t>
      </w:r>
      <w:r w:rsidR="00124814" w:rsidRPr="00C3407C">
        <w:rPr>
          <w:rFonts w:asciiTheme="majorHAnsi" w:hAnsiTheme="majorHAnsi"/>
          <w:sz w:val="24"/>
          <w:szCs w:val="24"/>
        </w:rPr>
        <w:t xml:space="preserve"> de 360.000 visitas. Las más visitadas de las 59 existentes en 2015 han sido las de Bibliografía y citas, la de Ciencias de la Salud y el Gestor bibliográfico Mendeley.</w:t>
      </w:r>
    </w:p>
    <w:p w:rsidR="00C3407C" w:rsidRDefault="00C3407C" w:rsidP="00124814">
      <w:pPr>
        <w:jc w:val="both"/>
        <w:rPr>
          <w:rFonts w:asciiTheme="majorHAnsi" w:hAnsiTheme="majorHAnsi"/>
          <w:sz w:val="24"/>
          <w:szCs w:val="24"/>
        </w:rPr>
      </w:pPr>
    </w:p>
    <w:p w:rsidR="00C3407C" w:rsidRPr="00C3407C" w:rsidRDefault="00C3407C" w:rsidP="00124814">
      <w:pPr>
        <w:jc w:val="both"/>
        <w:rPr>
          <w:rFonts w:asciiTheme="majorHAnsi" w:hAnsiTheme="majorHAnsi"/>
          <w:sz w:val="24"/>
          <w:szCs w:val="24"/>
        </w:rPr>
      </w:pPr>
    </w:p>
    <w:p w:rsidR="007522BD" w:rsidRPr="00C3407C" w:rsidRDefault="007522BD" w:rsidP="00124814">
      <w:pPr>
        <w:jc w:val="both"/>
        <w:rPr>
          <w:rFonts w:asciiTheme="majorHAnsi" w:hAnsiTheme="majorHAnsi" w:cs="Arial"/>
          <w:sz w:val="24"/>
          <w:szCs w:val="24"/>
        </w:rPr>
      </w:pPr>
    </w:p>
    <w:p w:rsidR="00124814" w:rsidRDefault="00124814" w:rsidP="00C3407C">
      <w:pPr>
        <w:pStyle w:val="Prrafodelista"/>
        <w:numPr>
          <w:ilvl w:val="0"/>
          <w:numId w:val="6"/>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C3407C">
        <w:rPr>
          <w:rFonts w:ascii="Cambria" w:eastAsia="Times New Roman" w:hAnsi="Cambria" w:cs="Times New Roman"/>
          <w:b/>
          <w:bCs/>
          <w:color w:val="7F7F7F"/>
          <w:sz w:val="24"/>
          <w:szCs w:val="24"/>
          <w:lang w:eastAsia="es-ES"/>
        </w:rPr>
        <w:lastRenderedPageBreak/>
        <w:t xml:space="preserve"> Resultado</w:t>
      </w:r>
    </w:p>
    <w:p w:rsidR="00C3407C" w:rsidRPr="00C3407C" w:rsidRDefault="00C340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Pr="00C3407C" w:rsidRDefault="00124814" w:rsidP="00124814">
      <w:pPr>
        <w:jc w:val="both"/>
        <w:rPr>
          <w:rFonts w:asciiTheme="majorHAnsi" w:hAnsiTheme="majorHAnsi"/>
          <w:sz w:val="24"/>
        </w:rPr>
      </w:pPr>
      <w:r w:rsidRPr="00C3407C">
        <w:rPr>
          <w:rFonts w:asciiTheme="majorHAnsi" w:hAnsiTheme="majorHAnsi"/>
          <w:sz w:val="24"/>
        </w:rPr>
        <w:t xml:space="preserve">Desde hace años la formación en la BUS se sitúa a la cabeza de las Universidades españolas. Es la Biblioteca que imparte formación a un porcentaje mayor de su comunidad universitaria, como se demuestra con el siguiente gráfico donde nos comparamos con Bibliotecas REBIUN semejantes. </w:t>
      </w:r>
    </w:p>
    <w:p w:rsidR="00124814" w:rsidRDefault="00124814" w:rsidP="00124814">
      <w:pPr>
        <w:jc w:val="both"/>
      </w:pPr>
    </w:p>
    <w:p w:rsidR="00124814" w:rsidRDefault="00124814" w:rsidP="00124814">
      <w:pPr>
        <w:jc w:val="both"/>
      </w:pPr>
      <w:r>
        <w:rPr>
          <w:noProof/>
          <w:lang w:eastAsia="es-ES"/>
        </w:rPr>
        <w:drawing>
          <wp:inline distT="0" distB="0" distL="0" distR="0" wp14:anchorId="3CC11F19" wp14:editId="57D2D181">
            <wp:extent cx="5501640" cy="2616200"/>
            <wp:effectExtent l="0" t="0" r="2286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4814" w:rsidRPr="00C3407C" w:rsidRDefault="007522BD" w:rsidP="0017177C">
      <w:pPr>
        <w:pStyle w:val="Descripcin"/>
        <w:jc w:val="center"/>
        <w:rPr>
          <w:rFonts w:ascii="Arial Narrow" w:hAnsi="Arial Narrow" w:cstheme="minorHAnsi"/>
          <w:b w:val="0"/>
          <w:i/>
          <w:color w:val="auto"/>
          <w:sz w:val="20"/>
          <w:szCs w:val="20"/>
        </w:rPr>
      </w:pPr>
      <w:r w:rsidRPr="00C3407C">
        <w:rPr>
          <w:rFonts w:ascii="Arial Narrow" w:hAnsi="Arial Narrow" w:cstheme="minorHAnsi"/>
          <w:b w:val="0"/>
          <w:i/>
          <w:color w:val="auto"/>
          <w:sz w:val="20"/>
          <w:szCs w:val="20"/>
        </w:rPr>
        <w:t xml:space="preserve">Gráfico 3. </w:t>
      </w:r>
      <w:r w:rsidR="00124814" w:rsidRPr="00C3407C">
        <w:rPr>
          <w:rFonts w:ascii="Arial Narrow" w:hAnsi="Arial Narrow" w:cstheme="minorHAnsi"/>
          <w:b w:val="0"/>
          <w:i/>
          <w:color w:val="auto"/>
          <w:sz w:val="20"/>
          <w:szCs w:val="20"/>
        </w:rPr>
        <w:t xml:space="preserve">Porcentajes de asistentes a actividades de </w:t>
      </w:r>
      <w:r w:rsidRPr="00C3407C">
        <w:rPr>
          <w:rFonts w:ascii="Arial Narrow" w:hAnsi="Arial Narrow" w:cstheme="minorHAnsi"/>
          <w:b w:val="0"/>
          <w:i/>
          <w:color w:val="auto"/>
          <w:sz w:val="20"/>
          <w:szCs w:val="20"/>
        </w:rPr>
        <w:t xml:space="preserve">formación de usuarios </w:t>
      </w:r>
      <w:r w:rsidR="0017177C" w:rsidRPr="00C3407C">
        <w:rPr>
          <w:rFonts w:ascii="Arial Narrow" w:hAnsi="Arial Narrow" w:cstheme="minorHAnsi"/>
          <w:b w:val="0"/>
          <w:i/>
          <w:color w:val="auto"/>
          <w:sz w:val="20"/>
          <w:szCs w:val="20"/>
        </w:rPr>
        <w:t xml:space="preserve">propios en </w:t>
      </w:r>
      <w:r w:rsidR="00124814" w:rsidRPr="00C3407C">
        <w:rPr>
          <w:rFonts w:ascii="Arial Narrow" w:hAnsi="Arial Narrow" w:cstheme="minorHAnsi"/>
          <w:b w:val="0"/>
          <w:i/>
          <w:color w:val="auto"/>
          <w:sz w:val="20"/>
          <w:szCs w:val="20"/>
        </w:rPr>
        <w:t>2015</w:t>
      </w: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Por otro lado, tenemos un crecimiento progresivo desde el 2011 y desde el 2013 encabezamos el ranking de número de asistentes a formación, como se puede observan con este gráfico de las Bibliotecas universitarias españolas que más formación imparten.</w:t>
      </w: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 xml:space="preserve"> </w:t>
      </w:r>
    </w:p>
    <w:p w:rsidR="00124814" w:rsidRDefault="00124814" w:rsidP="00124814">
      <w:pPr>
        <w:jc w:val="both"/>
      </w:pPr>
      <w:r>
        <w:rPr>
          <w:noProof/>
          <w:lang w:eastAsia="es-ES"/>
        </w:rPr>
        <w:lastRenderedPageBreak/>
        <w:drawing>
          <wp:inline distT="0" distB="0" distL="0" distR="0" wp14:anchorId="4DBC3062" wp14:editId="4798F65E">
            <wp:extent cx="5794625" cy="3863083"/>
            <wp:effectExtent l="0" t="0" r="15875" b="234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4814" w:rsidRPr="007522BD" w:rsidRDefault="007522BD" w:rsidP="007522BD">
      <w:pPr>
        <w:pStyle w:val="Descripcin"/>
        <w:jc w:val="center"/>
        <w:rPr>
          <w:rFonts w:cstheme="minorHAnsi"/>
          <w:b w:val="0"/>
          <w:color w:val="auto"/>
          <w:sz w:val="16"/>
          <w:szCs w:val="16"/>
          <w:lang w:val="es-ES"/>
        </w:rPr>
      </w:pPr>
      <w:r w:rsidRPr="007522BD">
        <w:rPr>
          <w:rFonts w:cstheme="minorHAnsi"/>
          <w:b w:val="0"/>
          <w:color w:val="auto"/>
          <w:sz w:val="16"/>
          <w:szCs w:val="16"/>
          <w:lang w:val="es-ES"/>
        </w:rPr>
        <w:t xml:space="preserve">Gráfico 4. </w:t>
      </w:r>
      <w:r w:rsidR="00124814" w:rsidRPr="007522BD">
        <w:rPr>
          <w:rFonts w:cstheme="minorHAnsi"/>
          <w:b w:val="0"/>
          <w:color w:val="auto"/>
          <w:sz w:val="16"/>
          <w:szCs w:val="16"/>
          <w:lang w:val="es-ES"/>
        </w:rPr>
        <w:t>Evolución del número de asistentes a formación de usuarios en las bibliotecas universitarias</w:t>
      </w:r>
      <w:r w:rsidR="0017177C" w:rsidRPr="007522BD">
        <w:rPr>
          <w:rFonts w:cstheme="minorHAnsi"/>
          <w:b w:val="0"/>
          <w:color w:val="auto"/>
          <w:sz w:val="16"/>
          <w:szCs w:val="16"/>
          <w:lang w:val="es-ES"/>
        </w:rPr>
        <w:t xml:space="preserve"> má</w:t>
      </w:r>
      <w:r w:rsidR="00124814" w:rsidRPr="007522BD">
        <w:rPr>
          <w:rFonts w:cstheme="minorHAnsi"/>
          <w:b w:val="0"/>
          <w:color w:val="auto"/>
          <w:sz w:val="16"/>
          <w:szCs w:val="16"/>
          <w:lang w:val="es-ES"/>
        </w:rPr>
        <w:t>s activas, 2011-</w:t>
      </w:r>
      <w:r w:rsidR="0017177C" w:rsidRPr="007522BD">
        <w:rPr>
          <w:rFonts w:cstheme="minorHAnsi"/>
          <w:b w:val="0"/>
          <w:color w:val="auto"/>
          <w:sz w:val="16"/>
          <w:szCs w:val="16"/>
          <w:lang w:val="es-ES"/>
        </w:rPr>
        <w:t>2</w:t>
      </w:r>
      <w:r w:rsidR="00124814" w:rsidRPr="007522BD">
        <w:rPr>
          <w:rFonts w:cstheme="minorHAnsi"/>
          <w:b w:val="0"/>
          <w:color w:val="auto"/>
          <w:sz w:val="16"/>
          <w:szCs w:val="16"/>
          <w:lang w:val="es-ES"/>
        </w:rPr>
        <w:t>015</w:t>
      </w:r>
    </w:p>
    <w:p w:rsidR="0017177C" w:rsidRPr="00C3407C" w:rsidRDefault="001717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Default="007522BD" w:rsidP="00C3407C">
      <w:pPr>
        <w:pStyle w:val="Prrafodelista"/>
        <w:numPr>
          <w:ilvl w:val="0"/>
          <w:numId w:val="6"/>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C3407C">
        <w:rPr>
          <w:rFonts w:ascii="Cambria" w:eastAsia="Times New Roman" w:hAnsi="Cambria" w:cs="Times New Roman"/>
          <w:b/>
          <w:bCs/>
          <w:color w:val="7F7F7F"/>
          <w:sz w:val="24"/>
          <w:szCs w:val="24"/>
          <w:lang w:eastAsia="es-ES"/>
        </w:rPr>
        <w:t>Justificación de la buena práctica</w:t>
      </w:r>
    </w:p>
    <w:p w:rsidR="00C3407C" w:rsidRPr="00C3407C" w:rsidRDefault="00C340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Pr="00C3407C" w:rsidRDefault="00124814" w:rsidP="00124814">
      <w:pPr>
        <w:jc w:val="both"/>
        <w:rPr>
          <w:rFonts w:asciiTheme="majorHAnsi" w:hAnsiTheme="majorHAnsi"/>
          <w:sz w:val="24"/>
          <w:szCs w:val="24"/>
        </w:rPr>
      </w:pPr>
      <w:r w:rsidRPr="00C3407C">
        <w:rPr>
          <w:rFonts w:asciiTheme="majorHAnsi" w:hAnsiTheme="majorHAnsi"/>
          <w:sz w:val="24"/>
          <w:szCs w:val="24"/>
        </w:rPr>
        <w:t>Estos datos son el reflejo del trabajo de todos los bibliotecarios de la BUS, conscientes de que nuestros  usuarios deben adquirir esta competencia transversal en gestión de la información, tan necesaria no solo en el entorno académico sino que también para el mundo laboral.  Y e</w:t>
      </w:r>
      <w:r w:rsidRPr="00C3407C">
        <w:rPr>
          <w:rFonts w:asciiTheme="majorHAnsi" w:hAnsiTheme="majorHAnsi" w:cs="Arial"/>
          <w:sz w:val="24"/>
          <w:szCs w:val="24"/>
        </w:rPr>
        <w:t xml:space="preserve">l éxito lo hemos alcanzado  gracias al trabajo desarrollado por estos profesionales, alrededor de 60 personas, altamente motivadas y salvando aspectos </w:t>
      </w:r>
      <w:r w:rsidRPr="00C3407C">
        <w:rPr>
          <w:rFonts w:asciiTheme="majorHAnsi" w:hAnsiTheme="majorHAnsi" w:cs="Arial"/>
          <w:i/>
          <w:sz w:val="24"/>
          <w:szCs w:val="24"/>
        </w:rPr>
        <w:t>a priori</w:t>
      </w:r>
      <w:r w:rsidRPr="00C3407C">
        <w:rPr>
          <w:rFonts w:asciiTheme="majorHAnsi" w:hAnsiTheme="majorHAnsi" w:cs="Arial"/>
          <w:sz w:val="24"/>
          <w:szCs w:val="24"/>
        </w:rPr>
        <w:t xml:space="preserve"> negativos como la dispersión geográfica y el avance constante de las nuevas tecnologías:</w:t>
      </w:r>
    </w:p>
    <w:p w:rsidR="00124814" w:rsidRPr="00C3407C" w:rsidRDefault="00124814" w:rsidP="00EA2663">
      <w:pPr>
        <w:pStyle w:val="Prrafodelista"/>
        <w:numPr>
          <w:ilvl w:val="0"/>
          <w:numId w:val="5"/>
        </w:numPr>
        <w:jc w:val="both"/>
        <w:rPr>
          <w:rFonts w:asciiTheme="majorHAnsi" w:hAnsiTheme="majorHAnsi"/>
          <w:sz w:val="24"/>
          <w:szCs w:val="24"/>
        </w:rPr>
      </w:pPr>
      <w:r w:rsidRPr="00C3407C">
        <w:rPr>
          <w:rFonts w:asciiTheme="majorHAnsi" w:hAnsiTheme="majorHAnsi"/>
          <w:sz w:val="24"/>
          <w:szCs w:val="24"/>
        </w:rPr>
        <w:t>La dispersión territorial de  nuestras unidades refleja la estructura física de la US.  Los 25 Centros de la Universidad a los que la BUS da servicio se distribuyen por toda la ciudad, y las 17 Bibliotecas se ubican en los 5 campus universitarios, aunque hay 3 fuera de ellos</w:t>
      </w:r>
      <w:r w:rsidR="0017177C" w:rsidRPr="00C3407C">
        <w:rPr>
          <w:rFonts w:asciiTheme="majorHAnsi" w:hAnsiTheme="majorHAnsi"/>
          <w:sz w:val="24"/>
          <w:szCs w:val="24"/>
        </w:rPr>
        <w:t>.</w:t>
      </w:r>
    </w:p>
    <w:p w:rsidR="00124814" w:rsidRPr="00C3407C" w:rsidRDefault="00124814" w:rsidP="00EA2663">
      <w:pPr>
        <w:pStyle w:val="Prrafodelista"/>
        <w:jc w:val="both"/>
        <w:rPr>
          <w:rFonts w:asciiTheme="majorHAnsi" w:hAnsiTheme="majorHAnsi"/>
          <w:sz w:val="24"/>
          <w:szCs w:val="24"/>
        </w:rPr>
      </w:pPr>
      <w:r w:rsidRPr="00C3407C">
        <w:rPr>
          <w:rFonts w:asciiTheme="majorHAnsi" w:hAnsiTheme="majorHAnsi"/>
          <w:sz w:val="24"/>
          <w:szCs w:val="24"/>
        </w:rPr>
        <w:t>Esta disgregación se ha convertido con el tiempo en una fortaleza gracias a que todas las Bibliotecas de Área orientan su trabajo en una misma dirección, marcada por una estrategia común, una acertada planificación en cada Bibliotecas, una sistemática implicación de los formadores y una constante coordinación por la Sección de Apoyo a Docencia. La comunidad universitaria nos percibe como una unidad, con un objetivo común.</w:t>
      </w:r>
    </w:p>
    <w:p w:rsidR="00124814" w:rsidRPr="00C3407C" w:rsidRDefault="00124814" w:rsidP="00EA2663">
      <w:pPr>
        <w:pStyle w:val="Prrafodelista"/>
        <w:numPr>
          <w:ilvl w:val="0"/>
          <w:numId w:val="5"/>
        </w:numPr>
        <w:jc w:val="both"/>
        <w:rPr>
          <w:rFonts w:asciiTheme="majorHAnsi" w:hAnsiTheme="majorHAnsi"/>
          <w:sz w:val="24"/>
          <w:szCs w:val="24"/>
        </w:rPr>
      </w:pPr>
      <w:r w:rsidRPr="00C3407C">
        <w:rPr>
          <w:rFonts w:asciiTheme="majorHAnsi" w:hAnsiTheme="majorHAnsi"/>
          <w:sz w:val="24"/>
          <w:szCs w:val="24"/>
        </w:rPr>
        <w:lastRenderedPageBreak/>
        <w:t>Estos bibliotecarios formadores, especializados en áreas temáticas, están también encarando la brecha digital (solo el 9 % de la plantilla es menor de 40 años) a través de los Planes Formativos impulsados desde la Dirección de la BUS, organizados por el Servicio de Formación del PAS o a través de formación externa.</w:t>
      </w:r>
    </w:p>
    <w:p w:rsidR="00D82EBB" w:rsidRPr="00EA2663" w:rsidRDefault="00D82EBB" w:rsidP="00D82EBB">
      <w:pPr>
        <w:pStyle w:val="Prrafodelista"/>
        <w:jc w:val="both"/>
      </w:pPr>
    </w:p>
    <w:p w:rsidR="00D82EBB" w:rsidRDefault="00D82EBB" w:rsidP="00C3407C">
      <w:pPr>
        <w:pStyle w:val="Prrafodelista"/>
        <w:numPr>
          <w:ilvl w:val="0"/>
          <w:numId w:val="6"/>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C3407C">
        <w:rPr>
          <w:rFonts w:ascii="Cambria" w:eastAsia="Times New Roman" w:hAnsi="Cambria" w:cs="Times New Roman"/>
          <w:b/>
          <w:bCs/>
          <w:color w:val="7F7F7F"/>
          <w:sz w:val="24"/>
          <w:szCs w:val="24"/>
          <w:lang w:eastAsia="es-ES"/>
        </w:rPr>
        <w:t xml:space="preserve">Criterios EFQM con los que se relaciona </w:t>
      </w:r>
    </w:p>
    <w:p w:rsidR="00C3407C" w:rsidRPr="00C3407C" w:rsidRDefault="00C3407C" w:rsidP="00C3407C">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124814" w:rsidRPr="00C3407C" w:rsidRDefault="00C3407C" w:rsidP="00124814">
      <w:pPr>
        <w:jc w:val="both"/>
        <w:rPr>
          <w:rFonts w:asciiTheme="majorHAnsi" w:hAnsiTheme="majorHAnsi"/>
          <w:sz w:val="24"/>
          <w:szCs w:val="24"/>
        </w:rPr>
      </w:pPr>
      <w:r>
        <w:rPr>
          <w:rFonts w:asciiTheme="majorHAnsi" w:hAnsiTheme="majorHAnsi"/>
          <w:sz w:val="24"/>
          <w:szCs w:val="24"/>
        </w:rPr>
        <w:t xml:space="preserve">              </w:t>
      </w:r>
      <w:r w:rsidR="00D82EBB" w:rsidRPr="00C3407C">
        <w:rPr>
          <w:rFonts w:asciiTheme="majorHAnsi" w:hAnsiTheme="majorHAnsi"/>
          <w:sz w:val="24"/>
          <w:szCs w:val="24"/>
        </w:rPr>
        <w:t>2c.2, 3b.4</w:t>
      </w:r>
    </w:p>
    <w:p w:rsidR="00124814" w:rsidRPr="00AF46F2" w:rsidRDefault="00124814" w:rsidP="00124814">
      <w:pPr>
        <w:jc w:val="both"/>
      </w:pPr>
    </w:p>
    <w:p w:rsidR="00B84C0D" w:rsidRPr="00124814" w:rsidRDefault="00B84C0D" w:rsidP="00124814">
      <w:pPr>
        <w:jc w:val="both"/>
      </w:pPr>
    </w:p>
    <w:sectPr w:rsidR="00B84C0D" w:rsidRPr="00124814" w:rsidSect="007522BD">
      <w:headerReference w:type="even" r:id="rId13"/>
      <w:headerReference w:type="default" r:id="rId14"/>
      <w:footerReference w:type="even" r:id="rId15"/>
      <w:footerReference w:type="default" r:id="rId16"/>
      <w:headerReference w:type="first" r:id="rId17"/>
      <w:footerReference w:type="first" r:id="rId18"/>
      <w:pgSz w:w="11906" w:h="16838"/>
      <w:pgMar w:top="1701" w:right="155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D5" w:rsidRDefault="006637D5" w:rsidP="00B84C0D">
      <w:pPr>
        <w:spacing w:after="0" w:line="240" w:lineRule="auto"/>
      </w:pPr>
      <w:r>
        <w:separator/>
      </w:r>
    </w:p>
  </w:endnote>
  <w:endnote w:type="continuationSeparator" w:id="0">
    <w:p w:rsidR="006637D5" w:rsidRDefault="006637D5" w:rsidP="00B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nion-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7C" w:rsidRDefault="00C340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Pr="0017177C" w:rsidRDefault="0017177C">
    <w:pPr>
      <w:pStyle w:val="Piedepgina"/>
      <w:rPr>
        <w:i/>
        <w:sz w:val="16"/>
        <w:szCs w:val="16"/>
      </w:rPr>
    </w:pPr>
    <w:r w:rsidRPr="0017177C">
      <w:rPr>
        <w:i/>
        <w:sz w:val="16"/>
        <w:szCs w:val="16"/>
      </w:rPr>
      <w:t>Buena</w:t>
    </w:r>
    <w:r w:rsidR="00C3407C">
      <w:rPr>
        <w:i/>
        <w:sz w:val="16"/>
        <w:szCs w:val="16"/>
      </w:rPr>
      <w:t>s</w:t>
    </w:r>
    <w:r w:rsidRPr="0017177C">
      <w:rPr>
        <w:i/>
        <w:sz w:val="16"/>
        <w:szCs w:val="16"/>
      </w:rPr>
      <w:t xml:space="preserve"> Práctica</w:t>
    </w:r>
    <w:r w:rsidR="00C3407C">
      <w:rPr>
        <w:i/>
        <w:sz w:val="16"/>
        <w:szCs w:val="16"/>
      </w:rPr>
      <w:t xml:space="preserve">s de la BUS: </w:t>
    </w:r>
    <w:bookmarkStart w:id="0" w:name="_GoBack"/>
    <w:bookmarkEnd w:id="0"/>
    <w:r w:rsidRPr="0017177C">
      <w:rPr>
        <w:i/>
        <w:sz w:val="16"/>
        <w:szCs w:val="16"/>
      </w:rPr>
      <w:t>Formación en Competencias en gestión  de la Información, CI</w:t>
    </w:r>
    <w:r>
      <w:rPr>
        <w:i/>
        <w:sz w:val="16"/>
        <w:szCs w:val="16"/>
      </w:rPr>
      <w:tab/>
    </w:r>
    <w:r w:rsidRPr="0017177C">
      <w:rPr>
        <w:rFonts w:eastAsiaTheme="minorEastAsia" w:cstheme="minorHAnsi"/>
        <w:i/>
        <w:sz w:val="16"/>
        <w:szCs w:val="16"/>
      </w:rPr>
      <w:fldChar w:fldCharType="begin"/>
    </w:r>
    <w:r w:rsidRPr="0017177C">
      <w:rPr>
        <w:rFonts w:cstheme="minorHAnsi"/>
        <w:i/>
        <w:sz w:val="16"/>
        <w:szCs w:val="16"/>
      </w:rPr>
      <w:instrText>PAGE    \* MERGEFORMAT</w:instrText>
    </w:r>
    <w:r w:rsidRPr="0017177C">
      <w:rPr>
        <w:rFonts w:eastAsiaTheme="minorEastAsia" w:cstheme="minorHAnsi"/>
        <w:i/>
        <w:sz w:val="16"/>
        <w:szCs w:val="16"/>
      </w:rPr>
      <w:fldChar w:fldCharType="separate"/>
    </w:r>
    <w:r w:rsidR="00DD6B38" w:rsidRPr="00DD6B38">
      <w:rPr>
        <w:rFonts w:eastAsiaTheme="majorEastAsia" w:cstheme="minorHAnsi"/>
        <w:i/>
        <w:noProof/>
        <w:sz w:val="16"/>
        <w:szCs w:val="16"/>
      </w:rPr>
      <w:t>5</w:t>
    </w:r>
    <w:r w:rsidRPr="0017177C">
      <w:rPr>
        <w:rFonts w:eastAsiaTheme="majorEastAsia" w:cstheme="minorHAnsi"/>
        <w:i/>
        <w:sz w:val="16"/>
        <w:szCs w:val="16"/>
      </w:rPr>
      <w:fldChar w:fldCharType="end"/>
    </w:r>
    <w:r w:rsidR="007522BD">
      <w:rPr>
        <w:rFonts w:eastAsiaTheme="majorEastAsia" w:cstheme="minorHAnsi"/>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14" w:rsidRPr="00124814" w:rsidRDefault="00124814">
    <w:pPr>
      <w:pStyle w:val="Piedepgina"/>
      <w:rPr>
        <w:i/>
        <w:sz w:val="16"/>
        <w:szCs w:val="16"/>
      </w:rPr>
    </w:pPr>
    <w:r>
      <w:rPr>
        <w:i/>
        <w:sz w:val="16"/>
        <w:szCs w:val="16"/>
      </w:rPr>
      <w:t xml:space="preserve">Buena Práctica de la BUS. </w:t>
    </w:r>
    <w:r w:rsidRPr="00124814">
      <w:rPr>
        <w:i/>
        <w:sz w:val="16"/>
        <w:szCs w:val="16"/>
      </w:rPr>
      <w:t>Formación en Competencias en gestión  de la Información, 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D5" w:rsidRDefault="006637D5" w:rsidP="00B84C0D">
      <w:pPr>
        <w:spacing w:after="0" w:line="240" w:lineRule="auto"/>
      </w:pPr>
      <w:r>
        <w:separator/>
      </w:r>
    </w:p>
  </w:footnote>
  <w:footnote w:type="continuationSeparator" w:id="0">
    <w:p w:rsidR="006637D5" w:rsidRDefault="006637D5" w:rsidP="00B8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7C" w:rsidRDefault="00C340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sidRPr="00B84C0D">
      <w:rPr>
        <w:noProof/>
        <w:lang w:eastAsia="es-ES"/>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-172720</wp:posOffset>
          </wp:positionV>
          <wp:extent cx="1278890" cy="422275"/>
          <wp:effectExtent l="19050" t="0" r="0" b="0"/>
          <wp:wrapSquare wrapText="bothSides"/>
          <wp:docPr id="9"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Pr>
        <w:noProof/>
        <w:lang w:eastAsia="es-ES"/>
      </w:rPr>
      <w:drawing>
        <wp:anchor distT="0" distB="0" distL="114300" distR="114300" simplePos="0" relativeHeight="251660288" behindDoc="0" locked="0" layoutInCell="1" allowOverlap="1">
          <wp:simplePos x="0" y="0"/>
          <wp:positionH relativeFrom="column">
            <wp:posOffset>-631825</wp:posOffset>
          </wp:positionH>
          <wp:positionV relativeFrom="paragraph">
            <wp:posOffset>635</wp:posOffset>
          </wp:positionV>
          <wp:extent cx="1144270" cy="381000"/>
          <wp:effectExtent l="19050" t="0" r="0" b="0"/>
          <wp:wrapSquare wrapText="bothSides"/>
          <wp:docPr id="11"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0304B"/>
    <w:multiLevelType w:val="hybridMultilevel"/>
    <w:tmpl w:val="C4B25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07066B"/>
    <w:multiLevelType w:val="hybridMultilevel"/>
    <w:tmpl w:val="ABC42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9"/>
    <w:rsid w:val="00015DD6"/>
    <w:rsid w:val="000932CF"/>
    <w:rsid w:val="001006F5"/>
    <w:rsid w:val="00124814"/>
    <w:rsid w:val="00163BBA"/>
    <w:rsid w:val="0017177C"/>
    <w:rsid w:val="001819E5"/>
    <w:rsid w:val="001E6D51"/>
    <w:rsid w:val="0027315D"/>
    <w:rsid w:val="002D3D4B"/>
    <w:rsid w:val="002E21A6"/>
    <w:rsid w:val="003562CF"/>
    <w:rsid w:val="0038101D"/>
    <w:rsid w:val="00395FAA"/>
    <w:rsid w:val="003D1173"/>
    <w:rsid w:val="0042367E"/>
    <w:rsid w:val="004F6A22"/>
    <w:rsid w:val="00514A2A"/>
    <w:rsid w:val="00524F81"/>
    <w:rsid w:val="00542BEA"/>
    <w:rsid w:val="0054630C"/>
    <w:rsid w:val="0057113E"/>
    <w:rsid w:val="00571747"/>
    <w:rsid w:val="005C1B80"/>
    <w:rsid w:val="005C5364"/>
    <w:rsid w:val="005E1299"/>
    <w:rsid w:val="00662CE6"/>
    <w:rsid w:val="006637D5"/>
    <w:rsid w:val="00694EB7"/>
    <w:rsid w:val="006C6240"/>
    <w:rsid w:val="00712727"/>
    <w:rsid w:val="00750ABA"/>
    <w:rsid w:val="007522BD"/>
    <w:rsid w:val="0076786B"/>
    <w:rsid w:val="00770B77"/>
    <w:rsid w:val="00777F82"/>
    <w:rsid w:val="00866C79"/>
    <w:rsid w:val="0088154F"/>
    <w:rsid w:val="008A3A7A"/>
    <w:rsid w:val="008A66BC"/>
    <w:rsid w:val="008C7E59"/>
    <w:rsid w:val="008F0744"/>
    <w:rsid w:val="008F12A7"/>
    <w:rsid w:val="00925616"/>
    <w:rsid w:val="00947157"/>
    <w:rsid w:val="00980AF2"/>
    <w:rsid w:val="00991193"/>
    <w:rsid w:val="009B74E9"/>
    <w:rsid w:val="009C027C"/>
    <w:rsid w:val="00A204E2"/>
    <w:rsid w:val="00A30E7E"/>
    <w:rsid w:val="00A42600"/>
    <w:rsid w:val="00A517AE"/>
    <w:rsid w:val="00A970CC"/>
    <w:rsid w:val="00AD737D"/>
    <w:rsid w:val="00B020A5"/>
    <w:rsid w:val="00B06BFA"/>
    <w:rsid w:val="00B21717"/>
    <w:rsid w:val="00B3187D"/>
    <w:rsid w:val="00B36009"/>
    <w:rsid w:val="00B512E1"/>
    <w:rsid w:val="00B64C53"/>
    <w:rsid w:val="00B84C0D"/>
    <w:rsid w:val="00BC5CF3"/>
    <w:rsid w:val="00BD53B1"/>
    <w:rsid w:val="00C22F04"/>
    <w:rsid w:val="00C3407C"/>
    <w:rsid w:val="00CA76EE"/>
    <w:rsid w:val="00CD5293"/>
    <w:rsid w:val="00CD585F"/>
    <w:rsid w:val="00D11541"/>
    <w:rsid w:val="00D47248"/>
    <w:rsid w:val="00D72A59"/>
    <w:rsid w:val="00D82EBB"/>
    <w:rsid w:val="00DD6B38"/>
    <w:rsid w:val="00E02052"/>
    <w:rsid w:val="00E06445"/>
    <w:rsid w:val="00E1447E"/>
    <w:rsid w:val="00E25968"/>
    <w:rsid w:val="00E3689B"/>
    <w:rsid w:val="00E51BC6"/>
    <w:rsid w:val="00EA2663"/>
    <w:rsid w:val="00EF082F"/>
    <w:rsid w:val="00F155D2"/>
    <w:rsid w:val="00F67DD0"/>
    <w:rsid w:val="00F71888"/>
    <w:rsid w:val="00FB6840"/>
    <w:rsid w:val="00FC7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61228-C366-403D-944A-4C3AC91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maculada\Dropbox\sello\estadisticas%20rebiu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50.214.182.61\planificacion\MEMORIAS\MEMORIA2015\graficos%20memoria%202015_TODOS%20LOS%20CAPITUL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maculada\Dropbox\sello\estadisticas%20rebiun%20final%20y%20tocada%20por%20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Asistentes</c:v>
          </c:tx>
          <c:marker>
            <c:symbol val="circle"/>
            <c:size val="5"/>
            <c:spPr>
              <a:ln cap="rnd"/>
            </c:spPr>
          </c:marker>
          <c:dLbls>
            <c:dLbl>
              <c:idx val="0"/>
              <c:numFmt formatCode="#,##0" sourceLinked="0"/>
              <c:spPr>
                <a:noFill/>
                <a:ln>
                  <a:noFill/>
                </a:ln>
                <a:effectLst/>
              </c:spPr>
              <c:txPr>
                <a:bodyPr/>
                <a:lstStyle/>
                <a:p>
                  <a:pPr>
                    <a:defRPr b="1"/>
                  </a:pPr>
                  <a:endParaRPr lang="es-ES"/>
                </a:p>
              </c:txPr>
              <c:showLegendKey val="0"/>
              <c:showVal val="1"/>
              <c:showCatName val="0"/>
              <c:showSerName val="0"/>
              <c:showPercent val="0"/>
              <c:showBubbleSize val="0"/>
            </c:dLbl>
            <c:dLbl>
              <c:idx val="1"/>
              <c:layout>
                <c:manualLayout>
                  <c:x val="0"/>
                  <c:y val="2.3394958143893217E-2"/>
                </c:manualLayout>
              </c:layout>
              <c:numFmt formatCode="#,##0" sourceLinked="0"/>
              <c:spPr>
                <a:noFill/>
                <a:ln>
                  <a:noFill/>
                </a:ln>
                <a:effectLst/>
              </c:spPr>
              <c:txPr>
                <a:bodyPr/>
                <a:lstStyle/>
                <a:p>
                  <a:pPr>
                    <a:defRPr b="1"/>
                  </a:pPr>
                  <a:endParaRPr lang="es-E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5092676256997933E-2"/>
                </c:manualLayout>
              </c:layout>
              <c:numFmt formatCode="#,##0" sourceLinked="0"/>
              <c:spPr>
                <a:noFill/>
                <a:ln>
                  <a:noFill/>
                </a:ln>
                <a:effectLst/>
              </c:spPr>
              <c:txPr>
                <a:bodyPr/>
                <a:lstStyle/>
                <a:p>
                  <a:pPr>
                    <a:defRPr b="1"/>
                  </a:pPr>
                  <a:endParaRPr lang="es-ES"/>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9669795577211566E-17"/>
                  <c:y val="6.071645415907655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3937153419593397E-3"/>
                  <c:y val="5.625879043600560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cursos!$C$56:$J$56</c:f>
              <c:numCache>
                <c:formatCode>General</c:formatCode>
                <c:ptCount val="8"/>
                <c:pt idx="0">
                  <c:v>2008</c:v>
                </c:pt>
                <c:pt idx="1">
                  <c:v>2009</c:v>
                </c:pt>
                <c:pt idx="2">
                  <c:v>2010</c:v>
                </c:pt>
                <c:pt idx="3">
                  <c:v>2011</c:v>
                </c:pt>
                <c:pt idx="4">
                  <c:v>2012</c:v>
                </c:pt>
                <c:pt idx="5">
                  <c:v>2013</c:v>
                </c:pt>
                <c:pt idx="6">
                  <c:v>2014</c:v>
                </c:pt>
                <c:pt idx="7">
                  <c:v>2015</c:v>
                </c:pt>
              </c:numCache>
            </c:numRef>
          </c:cat>
          <c:val>
            <c:numRef>
              <c:f>cursos!$C$57:$J$57</c:f>
              <c:numCache>
                <c:formatCode>General</c:formatCode>
                <c:ptCount val="8"/>
                <c:pt idx="0">
                  <c:v>10652</c:v>
                </c:pt>
                <c:pt idx="1">
                  <c:v>12926</c:v>
                </c:pt>
                <c:pt idx="2">
                  <c:v>13957</c:v>
                </c:pt>
                <c:pt idx="3" formatCode="#,##0">
                  <c:v>14307</c:v>
                </c:pt>
                <c:pt idx="4" formatCode="#,##0">
                  <c:v>15428</c:v>
                </c:pt>
                <c:pt idx="5" formatCode="#,##0">
                  <c:v>17957</c:v>
                </c:pt>
                <c:pt idx="6" formatCode="#,##0">
                  <c:v>19026</c:v>
                </c:pt>
                <c:pt idx="7" formatCode="#,##0">
                  <c:v>22129</c:v>
                </c:pt>
              </c:numCache>
            </c:numRef>
          </c:val>
          <c:smooth val="0"/>
        </c:ser>
        <c:dLbls>
          <c:showLegendKey val="0"/>
          <c:showVal val="0"/>
          <c:showCatName val="0"/>
          <c:showSerName val="0"/>
          <c:showPercent val="0"/>
          <c:showBubbleSize val="0"/>
        </c:dLbls>
        <c:marker val="1"/>
        <c:smooth val="0"/>
        <c:axId val="560980136"/>
        <c:axId val="560981312"/>
      </c:lineChart>
      <c:catAx>
        <c:axId val="560980136"/>
        <c:scaling>
          <c:orientation val="minMax"/>
        </c:scaling>
        <c:delete val="0"/>
        <c:axPos val="b"/>
        <c:numFmt formatCode="General" sourceLinked="1"/>
        <c:majorTickMark val="out"/>
        <c:minorTickMark val="none"/>
        <c:tickLblPos val="nextTo"/>
        <c:crossAx val="560981312"/>
        <c:crosses val="autoZero"/>
        <c:auto val="1"/>
        <c:lblAlgn val="ctr"/>
        <c:lblOffset val="100"/>
        <c:noMultiLvlLbl val="0"/>
      </c:catAx>
      <c:valAx>
        <c:axId val="560981312"/>
        <c:scaling>
          <c:orientation val="minMax"/>
        </c:scaling>
        <c:delete val="0"/>
        <c:axPos val="l"/>
        <c:majorGridlines/>
        <c:numFmt formatCode="General" sourceLinked="1"/>
        <c:majorTickMark val="out"/>
        <c:minorTickMark val="none"/>
        <c:tickLblPos val="nextTo"/>
        <c:crossAx val="5609801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6.6177545563813694E-2"/>
          <c:y val="4.99641968233469E-2"/>
          <c:w val="0.89277144095305905"/>
          <c:h val="0.58073947435478102"/>
        </c:manualLayout>
      </c:layout>
      <c:barChart>
        <c:barDir val="col"/>
        <c:grouping val="clustered"/>
        <c:varyColors val="0"/>
        <c:ser>
          <c:idx val="1"/>
          <c:order val="1"/>
          <c:tx>
            <c:strRef>
              <c:f>'C4. Servicios (Formación)'!$C$80</c:f>
              <c:strCache>
                <c:ptCount val="1"/>
                <c:pt idx="0">
                  <c:v>Grados integrados</c:v>
                </c:pt>
              </c:strCache>
            </c:strRef>
          </c:tx>
          <c:invertIfNegative val="0"/>
          <c:dLbls>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1.52419600515676E-3"/>
                  <c:y val="0.10269762936503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2.9100239500431E-3"/>
                  <c:y val="7.723667886916950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es-E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'C4. Servicios (Formación)'!$A$81:$A$96</c:f>
              <c:strCache>
                <c:ptCount val="16"/>
                <c:pt idx="0">
                  <c:v>Arquitectura</c:v>
                </c:pt>
                <c:pt idx="1">
                  <c:v>Bellas Artes</c:v>
                </c:pt>
                <c:pt idx="2">
                  <c:v>C. Educación</c:v>
                </c:pt>
                <c:pt idx="3">
                  <c:v>Centros Salud</c:v>
                </c:pt>
                <c:pt idx="4">
                  <c:v>Comunicación</c:v>
                </c:pt>
                <c:pt idx="5">
                  <c:v>CRAI Ulloa </c:v>
                </c:pt>
                <c:pt idx="6">
                  <c:v>Derecho y C. T.</c:v>
                </c:pt>
                <c:pt idx="7">
                  <c:v>Económicas</c:v>
                </c:pt>
                <c:pt idx="8">
                  <c:v>Fil. y Psicología</c:v>
                </c:pt>
                <c:pt idx="9">
                  <c:v>Humanidades</c:v>
                </c:pt>
                <c:pt idx="10">
                  <c:v>Informática</c:v>
                </c:pt>
                <c:pt idx="11">
                  <c:v>Ing. Agronómica</c:v>
                </c:pt>
                <c:pt idx="12">
                  <c:v>Ingeniería</c:v>
                </c:pt>
                <c:pt idx="13">
                  <c:v>Matemáticas</c:v>
                </c:pt>
                <c:pt idx="14">
                  <c:v>Politécnica</c:v>
                </c:pt>
                <c:pt idx="15">
                  <c:v>Turismo y Fin.</c:v>
                </c:pt>
              </c:strCache>
            </c:strRef>
          </c:cat>
          <c:val>
            <c:numRef>
              <c:f>'C4. Servicios (Formación)'!$C$81:$C$96</c:f>
              <c:numCache>
                <c:formatCode>General</c:formatCode>
                <c:ptCount val="16"/>
                <c:pt idx="0">
                  <c:v>2</c:v>
                </c:pt>
                <c:pt idx="1">
                  <c:v>2</c:v>
                </c:pt>
                <c:pt idx="2">
                  <c:v>6</c:v>
                </c:pt>
                <c:pt idx="3">
                  <c:v>6</c:v>
                </c:pt>
                <c:pt idx="4">
                  <c:v>3</c:v>
                </c:pt>
                <c:pt idx="5">
                  <c:v>1</c:v>
                </c:pt>
                <c:pt idx="6">
                  <c:v>9</c:v>
                </c:pt>
                <c:pt idx="7">
                  <c:v>5</c:v>
                </c:pt>
                <c:pt idx="8">
                  <c:v>3</c:v>
                </c:pt>
                <c:pt idx="9">
                  <c:v>8</c:v>
                </c:pt>
                <c:pt idx="10">
                  <c:v>0</c:v>
                </c:pt>
                <c:pt idx="11">
                  <c:v>0</c:v>
                </c:pt>
                <c:pt idx="12">
                  <c:v>8</c:v>
                </c:pt>
                <c:pt idx="13">
                  <c:v>2</c:v>
                </c:pt>
                <c:pt idx="14">
                  <c:v>8</c:v>
                </c:pt>
                <c:pt idx="15">
                  <c:v>4</c:v>
                </c:pt>
              </c:numCache>
            </c:numRef>
          </c:val>
        </c:ser>
        <c:dLbls>
          <c:showLegendKey val="0"/>
          <c:showVal val="0"/>
          <c:showCatName val="0"/>
          <c:showSerName val="0"/>
          <c:showPercent val="0"/>
          <c:showBubbleSize val="0"/>
        </c:dLbls>
        <c:gapWidth val="149"/>
        <c:axId val="560980528"/>
        <c:axId val="560980920"/>
      </c:barChart>
      <c:lineChart>
        <c:grouping val="standard"/>
        <c:varyColors val="0"/>
        <c:ser>
          <c:idx val="0"/>
          <c:order val="0"/>
          <c:tx>
            <c:strRef>
              <c:f>'C4. Servicios (Formación)'!$B$80</c:f>
              <c:strCache>
                <c:ptCount val="1"/>
                <c:pt idx="0">
                  <c:v>Grados </c:v>
                </c:pt>
              </c:strCache>
            </c:strRef>
          </c:tx>
          <c:marker>
            <c:symbol val="circle"/>
            <c:size val="6"/>
          </c:marker>
          <c:dLbls>
            <c:dLbl>
              <c:idx val="0"/>
              <c:layout>
                <c:manualLayout>
                  <c:x val="-1.8713817978116599E-2"/>
                  <c:y val="-4.62159526109404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9650080655821599E-2"/>
                  <c:y val="-4.08754192202779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0749118775162501E-2"/>
                  <c:y val="-4.41374464328772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2144224677485601E-2"/>
                  <c:y val="-1.90380900374030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1.55049823336629E-2"/>
                  <c:y val="-3.34709081442349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7400530503978801E-2"/>
                  <c:y val="-5.66518111410570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1.7324067157657001E-2"/>
                  <c:y val="-3.02346210165242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1.9597735959397702E-2"/>
                  <c:y val="-4.58837276212957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1.84073377128539E-2"/>
                  <c:y val="-4.40665582819608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2.0531530763388799E-2"/>
                  <c:y val="-4.796049098064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1.88325993373216E-2"/>
                  <c:y val="-3.430313843058809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'C4. Servicios (Formación)'!$A$81:$A$96</c:f>
              <c:strCache>
                <c:ptCount val="16"/>
                <c:pt idx="0">
                  <c:v>Arquitectura</c:v>
                </c:pt>
                <c:pt idx="1">
                  <c:v>Bellas Artes</c:v>
                </c:pt>
                <c:pt idx="2">
                  <c:v>C. Educación</c:v>
                </c:pt>
                <c:pt idx="3">
                  <c:v>Centros Salud</c:v>
                </c:pt>
                <c:pt idx="4">
                  <c:v>Comunicación</c:v>
                </c:pt>
                <c:pt idx="5">
                  <c:v>CRAI Ulloa </c:v>
                </c:pt>
                <c:pt idx="6">
                  <c:v>Derecho y C. T.</c:v>
                </c:pt>
                <c:pt idx="7">
                  <c:v>Económicas</c:v>
                </c:pt>
                <c:pt idx="8">
                  <c:v>Fil. y Psicología</c:v>
                </c:pt>
                <c:pt idx="9">
                  <c:v>Humanidades</c:v>
                </c:pt>
                <c:pt idx="10">
                  <c:v>Informática</c:v>
                </c:pt>
                <c:pt idx="11">
                  <c:v>Ing. Agronómica</c:v>
                </c:pt>
                <c:pt idx="12">
                  <c:v>Ingeniería</c:v>
                </c:pt>
                <c:pt idx="13">
                  <c:v>Matemáticas</c:v>
                </c:pt>
                <c:pt idx="14">
                  <c:v>Politécnica</c:v>
                </c:pt>
                <c:pt idx="15">
                  <c:v>Turismo y Fin.</c:v>
                </c:pt>
              </c:strCache>
            </c:strRef>
          </c:cat>
          <c:val>
            <c:numRef>
              <c:f>'C4. Servicios (Formación)'!$B$81:$B$96</c:f>
              <c:numCache>
                <c:formatCode>General</c:formatCode>
                <c:ptCount val="16"/>
                <c:pt idx="0">
                  <c:v>2</c:v>
                </c:pt>
                <c:pt idx="1">
                  <c:v>2</c:v>
                </c:pt>
                <c:pt idx="2">
                  <c:v>6</c:v>
                </c:pt>
                <c:pt idx="3">
                  <c:v>6</c:v>
                </c:pt>
                <c:pt idx="4">
                  <c:v>4</c:v>
                </c:pt>
                <c:pt idx="5">
                  <c:v>11</c:v>
                </c:pt>
                <c:pt idx="6">
                  <c:v>9</c:v>
                </c:pt>
                <c:pt idx="7">
                  <c:v>5</c:v>
                </c:pt>
                <c:pt idx="8">
                  <c:v>3</c:v>
                </c:pt>
                <c:pt idx="9">
                  <c:v>15</c:v>
                </c:pt>
                <c:pt idx="10">
                  <c:v>4</c:v>
                </c:pt>
                <c:pt idx="11">
                  <c:v>1</c:v>
                </c:pt>
                <c:pt idx="12">
                  <c:v>8</c:v>
                </c:pt>
                <c:pt idx="13">
                  <c:v>4</c:v>
                </c:pt>
                <c:pt idx="14">
                  <c:v>8</c:v>
                </c:pt>
                <c:pt idx="15">
                  <c:v>4</c:v>
                </c:pt>
              </c:numCache>
            </c:numRef>
          </c:val>
          <c:smooth val="0"/>
        </c:ser>
        <c:dLbls>
          <c:showLegendKey val="0"/>
          <c:showVal val="0"/>
          <c:showCatName val="0"/>
          <c:showSerName val="0"/>
          <c:showPercent val="0"/>
          <c:showBubbleSize val="0"/>
        </c:dLbls>
        <c:marker val="1"/>
        <c:smooth val="0"/>
        <c:axId val="560980528"/>
        <c:axId val="560980920"/>
      </c:lineChart>
      <c:catAx>
        <c:axId val="560980528"/>
        <c:scaling>
          <c:orientation val="minMax"/>
        </c:scaling>
        <c:delete val="0"/>
        <c:axPos val="b"/>
        <c:numFmt formatCode="General" sourceLinked="1"/>
        <c:majorTickMark val="out"/>
        <c:minorTickMark val="none"/>
        <c:tickLblPos val="nextTo"/>
        <c:txPr>
          <a:bodyPr rot="-2700000" vert="horz"/>
          <a:lstStyle/>
          <a:p>
            <a:pPr>
              <a:defRPr/>
            </a:pPr>
            <a:endParaRPr lang="es-ES"/>
          </a:p>
        </c:txPr>
        <c:crossAx val="560980920"/>
        <c:crosses val="autoZero"/>
        <c:auto val="1"/>
        <c:lblAlgn val="ctr"/>
        <c:lblOffset val="100"/>
        <c:noMultiLvlLbl val="0"/>
      </c:catAx>
      <c:valAx>
        <c:axId val="560980920"/>
        <c:scaling>
          <c:orientation val="minMax"/>
          <c:max val="20"/>
        </c:scaling>
        <c:delete val="0"/>
        <c:axPos val="l"/>
        <c:majorGridlines/>
        <c:numFmt formatCode="#,##0" sourceLinked="0"/>
        <c:majorTickMark val="out"/>
        <c:minorTickMark val="none"/>
        <c:tickLblPos val="nextTo"/>
        <c:crossAx val="560980528"/>
        <c:crosses val="autoZero"/>
        <c:crossBetween val="between"/>
        <c:majorUnit val="5"/>
      </c:valAx>
    </c:plotArea>
    <c:legend>
      <c:legendPos val="r"/>
      <c:layout>
        <c:manualLayout>
          <c:xMode val="edge"/>
          <c:yMode val="edge"/>
          <c:x val="0.63255566779036698"/>
          <c:y val="0.89491216053811495"/>
          <c:w val="0.353980425344043"/>
          <c:h val="5.97770986682667E-2"/>
        </c:manualLayout>
      </c:layout>
      <c:overlay val="1"/>
    </c:legend>
    <c:plotVisOnly val="1"/>
    <c:dispBlanksAs val="gap"/>
    <c:showDLblsOverMax val="0"/>
  </c:chart>
  <c:spPr>
    <a:ln>
      <a:noFill/>
    </a:ln>
  </c:spPr>
  <c:txPr>
    <a:bodyPr/>
    <a:lstStyle/>
    <a:p>
      <a:pPr>
        <a:defRPr sz="900"/>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5580590102825102E-2"/>
          <c:y val="0.21589601726360499"/>
          <c:w val="0.918912168177623"/>
          <c:h val="0.42868583730875698"/>
        </c:manualLayout>
      </c:layout>
      <c:barChart>
        <c:barDir val="col"/>
        <c:grouping val="clustered"/>
        <c:varyColors val="0"/>
        <c:ser>
          <c:idx val="2"/>
          <c:order val="1"/>
          <c:tx>
            <c:strRef>
              <c:f>'[1]Graficas PROC '!$A$25</c:f>
              <c:strCache>
                <c:ptCount val="1"/>
                <c:pt idx="0">
                  <c:v>Porcentaje de asistentes a actividades de formación de usuarios propios</c:v>
                </c:pt>
              </c:strCache>
            </c:strRef>
          </c:tx>
          <c:invertIfNegative val="0"/>
          <c:dPt>
            <c:idx val="0"/>
            <c:invertIfNegative val="0"/>
            <c:bubble3D val="0"/>
            <c:spPr>
              <a:solidFill>
                <a:schemeClr val="accent2">
                  <a:lumMod val="40000"/>
                  <a:lumOff val="60000"/>
                </a:schemeClr>
              </a:solidFill>
            </c:spPr>
          </c:dPt>
          <c:dLbls>
            <c:dLbl>
              <c:idx val="5"/>
              <c:layout>
                <c:manualLayout>
                  <c:x val="0"/>
                  <c:y val="1.28205085064578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28205085064578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8.5023156870403305E-17"/>
                  <c:y val="-2.13675141774298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564101701291579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'[1]Graficas PROC '!$A$26:$A$36</c:f>
              <c:strCache>
                <c:ptCount val="11"/>
                <c:pt idx="0">
                  <c:v>Sevilla</c:v>
                </c:pt>
                <c:pt idx="1">
                  <c:v>Politècnica de Catalunya</c:v>
                </c:pt>
                <c:pt idx="2">
                  <c:v>València</c:v>
                </c:pt>
                <c:pt idx="3">
                  <c:v>Complutense</c:v>
                </c:pt>
                <c:pt idx="4">
                  <c:v>País Vasco</c:v>
                </c:pt>
                <c:pt idx="5">
                  <c:v>Zaragoza</c:v>
                </c:pt>
                <c:pt idx="6">
                  <c:v>Autònoma de Barcelona</c:v>
                </c:pt>
                <c:pt idx="7">
                  <c:v>Granada</c:v>
                </c:pt>
                <c:pt idx="8">
                  <c:v>Barcelona</c:v>
                </c:pt>
                <c:pt idx="9">
                  <c:v>Málaga</c:v>
                </c:pt>
                <c:pt idx="10">
                  <c:v>Politécnica de Madrid</c:v>
                </c:pt>
              </c:strCache>
            </c:strRef>
          </c:cat>
          <c:val>
            <c:numRef>
              <c:f>'[1]Graficas PROC '!$D$26:$D$36</c:f>
              <c:numCache>
                <c:formatCode>0.00</c:formatCode>
                <c:ptCount val="11"/>
                <c:pt idx="0">
                  <c:v>33.320785400228878</c:v>
                </c:pt>
                <c:pt idx="1">
                  <c:v>24.140918993860179</c:v>
                </c:pt>
                <c:pt idx="2">
                  <c:v>20.86532458109043</c:v>
                </c:pt>
                <c:pt idx="3">
                  <c:v>17.536994557639559</c:v>
                </c:pt>
                <c:pt idx="4">
                  <c:v>17.274999053424711</c:v>
                </c:pt>
                <c:pt idx="5">
                  <c:v>15.170772401609581</c:v>
                </c:pt>
                <c:pt idx="6">
                  <c:v>14.766153984126269</c:v>
                </c:pt>
                <c:pt idx="7">
                  <c:v>12.65639895138227</c:v>
                </c:pt>
                <c:pt idx="8">
                  <c:v>11.081089950446851</c:v>
                </c:pt>
                <c:pt idx="9">
                  <c:v>6.382021509062084</c:v>
                </c:pt>
                <c:pt idx="10">
                  <c:v>3.718710792077172</c:v>
                </c:pt>
              </c:numCache>
            </c:numRef>
          </c:val>
        </c:ser>
        <c:dLbls>
          <c:showLegendKey val="0"/>
          <c:showVal val="0"/>
          <c:showCatName val="0"/>
          <c:showSerName val="0"/>
          <c:showPercent val="0"/>
          <c:showBubbleSize val="0"/>
        </c:dLbls>
        <c:gapWidth val="75"/>
        <c:overlap val="-25"/>
        <c:axId val="482245320"/>
        <c:axId val="568963832"/>
      </c:barChart>
      <c:lineChart>
        <c:grouping val="standard"/>
        <c:varyColors val="0"/>
        <c:ser>
          <c:idx val="1"/>
          <c:order val="0"/>
          <c:tx>
            <c:strRef>
              <c:f>'[1]Graficas PROC '!$C$25</c:f>
              <c:strCache>
                <c:ptCount val="1"/>
                <c:pt idx="0">
                  <c:v>VALOR REBIUN_x000d_Promedio 10  bibliotecas</c:v>
                </c:pt>
              </c:strCache>
            </c:strRef>
          </c:tx>
          <c:spPr>
            <a:ln>
              <a:solidFill>
                <a:srgbClr val="C00000"/>
              </a:solidFill>
            </a:ln>
          </c:spPr>
          <c:marker>
            <c:symbol val="none"/>
          </c:marker>
          <c:dLbls>
            <c:dLbl>
              <c:idx val="10"/>
              <c:layout>
                <c:manualLayout>
                  <c:x val="-1.7931024912742202E-2"/>
                  <c:y val="-2.774580128346420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ES"/>
              </a:p>
            </c:txPr>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#REF!</c:f>
            </c:multiLvlStrRef>
          </c:cat>
          <c:val>
            <c:numRef>
              <c:f>'[1]Graficas PROC '!$C$26:$C$36</c:f>
              <c:numCache>
                <c:formatCode>0.00</c:formatCode>
                <c:ptCount val="11"/>
                <c:pt idx="0">
                  <c:v>14.359338477471921</c:v>
                </c:pt>
                <c:pt idx="1">
                  <c:v>14.359338477471921</c:v>
                </c:pt>
                <c:pt idx="2">
                  <c:v>14.359338477471921</c:v>
                </c:pt>
                <c:pt idx="3">
                  <c:v>14.359338477471921</c:v>
                </c:pt>
                <c:pt idx="4">
                  <c:v>14.359338477471921</c:v>
                </c:pt>
                <c:pt idx="5">
                  <c:v>14.359338477471921</c:v>
                </c:pt>
                <c:pt idx="6">
                  <c:v>14.359338477471921</c:v>
                </c:pt>
                <c:pt idx="7">
                  <c:v>14.359338477471921</c:v>
                </c:pt>
                <c:pt idx="8">
                  <c:v>14.359338477471921</c:v>
                </c:pt>
                <c:pt idx="9">
                  <c:v>14.359338477471921</c:v>
                </c:pt>
                <c:pt idx="10">
                  <c:v>14.359338477471921</c:v>
                </c:pt>
              </c:numCache>
            </c:numRef>
          </c:val>
          <c:smooth val="0"/>
        </c:ser>
        <c:dLbls>
          <c:showLegendKey val="0"/>
          <c:showVal val="0"/>
          <c:showCatName val="0"/>
          <c:showSerName val="0"/>
          <c:showPercent val="0"/>
          <c:showBubbleSize val="0"/>
        </c:dLbls>
        <c:marker val="1"/>
        <c:smooth val="0"/>
        <c:axId val="482245320"/>
        <c:axId val="568963832"/>
      </c:lineChart>
      <c:catAx>
        <c:axId val="482245320"/>
        <c:scaling>
          <c:orientation val="minMax"/>
        </c:scaling>
        <c:delete val="0"/>
        <c:axPos val="b"/>
        <c:numFmt formatCode="General" sourceLinked="1"/>
        <c:majorTickMark val="none"/>
        <c:minorTickMark val="none"/>
        <c:tickLblPos val="nextTo"/>
        <c:crossAx val="568963832"/>
        <c:crosses val="autoZero"/>
        <c:auto val="1"/>
        <c:lblAlgn val="ctr"/>
        <c:lblOffset val="100"/>
        <c:noMultiLvlLbl val="0"/>
      </c:catAx>
      <c:valAx>
        <c:axId val="568963832"/>
        <c:scaling>
          <c:orientation val="minMax"/>
        </c:scaling>
        <c:delete val="0"/>
        <c:axPos val="l"/>
        <c:majorGridlines/>
        <c:numFmt formatCode="#,##0" sourceLinked="0"/>
        <c:majorTickMark val="none"/>
        <c:minorTickMark val="none"/>
        <c:tickLblPos val="nextTo"/>
        <c:crossAx val="482245320"/>
        <c:crosses val="autoZero"/>
        <c:crossBetween val="between"/>
        <c:majorUnit val="10"/>
      </c:valAx>
    </c:plotArea>
    <c:legend>
      <c:legendPos val="t"/>
      <c:legendEntry>
        <c:idx val="0"/>
        <c:delete val="1"/>
      </c:legendEntry>
      <c:layout>
        <c:manualLayout>
          <c:xMode val="edge"/>
          <c:yMode val="edge"/>
          <c:x val="0.36456585834698502"/>
          <c:y val="0.120448845666315"/>
          <c:w val="0.26854944314970802"/>
          <c:h val="0.102030384941657"/>
        </c:manualLayout>
      </c:layout>
      <c:overlay val="0"/>
      <c:txPr>
        <a:bodyPr/>
        <a:lstStyle/>
        <a:p>
          <a:pPr>
            <a:defRPr sz="800"/>
          </a:pPr>
          <a:endParaRPr lang="es-ES"/>
        </a:p>
      </c:txPr>
    </c:legend>
    <c:plotVisOnly val="0"/>
    <c:dispBlanksAs val="zero"/>
    <c:showDLblsOverMax val="0"/>
  </c:chart>
  <c:txPr>
    <a:bodyPr/>
    <a:lstStyle/>
    <a:p>
      <a:pPr>
        <a:defRPr sz="900"/>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asistentes!$B$1</c:f>
              <c:strCache>
                <c:ptCount val="1"/>
                <c:pt idx="0">
                  <c:v>2011</c:v>
                </c:pt>
              </c:strCache>
            </c:strRef>
          </c:tx>
          <c:invertIfNegative val="0"/>
          <c:dPt>
            <c:idx val="5"/>
            <c:invertIfNegative val="0"/>
            <c:bubble3D val="0"/>
            <c:spPr>
              <a:solidFill>
                <a:schemeClr val="accent2">
                  <a:lumMod val="50000"/>
                </a:schemeClr>
              </a:solidFill>
            </c:spPr>
          </c:dPt>
          <c:cat>
            <c:strRef>
              <c:f>asistentes!$A$2:$A$8</c:f>
              <c:strCache>
                <c:ptCount val="7"/>
                <c:pt idx="0">
                  <c:v>Universitat de Barcelona</c:v>
                </c:pt>
                <c:pt idx="1">
                  <c:v>Universidad Complutense</c:v>
                </c:pt>
                <c:pt idx="2">
                  <c:v>Universidad de Granada</c:v>
                </c:pt>
                <c:pt idx="3">
                  <c:v>Universidad de Málaga</c:v>
                </c:pt>
                <c:pt idx="4">
                  <c:v>Universitat Politècnica de Catalunya</c:v>
                </c:pt>
                <c:pt idx="5">
                  <c:v>Universidad de Sevilla</c:v>
                </c:pt>
                <c:pt idx="6">
                  <c:v>.Universitat de València</c:v>
                </c:pt>
              </c:strCache>
            </c:strRef>
          </c:cat>
          <c:val>
            <c:numRef>
              <c:f>asistentes!$B$2:$B$8</c:f>
              <c:numCache>
                <c:formatCode>General</c:formatCode>
                <c:ptCount val="7"/>
                <c:pt idx="0">
                  <c:v>9159</c:v>
                </c:pt>
                <c:pt idx="1">
                  <c:v>9026</c:v>
                </c:pt>
                <c:pt idx="2">
                  <c:v>8330</c:v>
                </c:pt>
                <c:pt idx="3">
                  <c:v>4944</c:v>
                </c:pt>
                <c:pt idx="4">
                  <c:v>11475</c:v>
                </c:pt>
                <c:pt idx="5">
                  <c:v>14307</c:v>
                </c:pt>
                <c:pt idx="6">
                  <c:v>14043</c:v>
                </c:pt>
              </c:numCache>
            </c:numRef>
          </c:val>
        </c:ser>
        <c:ser>
          <c:idx val="1"/>
          <c:order val="1"/>
          <c:tx>
            <c:strRef>
              <c:f>asistentes!$C$1</c:f>
              <c:strCache>
                <c:ptCount val="1"/>
                <c:pt idx="0">
                  <c:v>2012</c:v>
                </c:pt>
              </c:strCache>
            </c:strRef>
          </c:tx>
          <c:invertIfNegative val="0"/>
          <c:dPt>
            <c:idx val="5"/>
            <c:invertIfNegative val="0"/>
            <c:bubble3D val="0"/>
            <c:spPr>
              <a:solidFill>
                <a:schemeClr val="accent2">
                  <a:lumMod val="75000"/>
                </a:schemeClr>
              </a:solidFill>
            </c:spPr>
          </c:dPt>
          <c:cat>
            <c:strRef>
              <c:f>asistentes!$A$2:$A$8</c:f>
              <c:strCache>
                <c:ptCount val="7"/>
                <c:pt idx="0">
                  <c:v>Universitat de Barcelona</c:v>
                </c:pt>
                <c:pt idx="1">
                  <c:v>Universidad Complutense</c:v>
                </c:pt>
                <c:pt idx="2">
                  <c:v>Universidad de Granada</c:v>
                </c:pt>
                <c:pt idx="3">
                  <c:v>Universidad de Málaga</c:v>
                </c:pt>
                <c:pt idx="4">
                  <c:v>Universitat Politècnica de Catalunya</c:v>
                </c:pt>
                <c:pt idx="5">
                  <c:v>Universidad de Sevilla</c:v>
                </c:pt>
                <c:pt idx="6">
                  <c:v>.Universitat de València</c:v>
                </c:pt>
              </c:strCache>
            </c:strRef>
          </c:cat>
          <c:val>
            <c:numRef>
              <c:f>asistentes!$C$2:$C$8</c:f>
              <c:numCache>
                <c:formatCode>General</c:formatCode>
                <c:ptCount val="7"/>
                <c:pt idx="0">
                  <c:v>6007</c:v>
                </c:pt>
                <c:pt idx="1">
                  <c:v>9580</c:v>
                </c:pt>
                <c:pt idx="2">
                  <c:v>6111</c:v>
                </c:pt>
                <c:pt idx="3">
                  <c:v>4850</c:v>
                </c:pt>
                <c:pt idx="4">
                  <c:v>10274</c:v>
                </c:pt>
                <c:pt idx="5">
                  <c:v>15428</c:v>
                </c:pt>
                <c:pt idx="6">
                  <c:v>16161</c:v>
                </c:pt>
              </c:numCache>
            </c:numRef>
          </c:val>
        </c:ser>
        <c:ser>
          <c:idx val="2"/>
          <c:order val="2"/>
          <c:tx>
            <c:strRef>
              <c:f>asistentes!$D$1</c:f>
              <c:strCache>
                <c:ptCount val="1"/>
                <c:pt idx="0">
                  <c:v>2013</c:v>
                </c:pt>
              </c:strCache>
            </c:strRef>
          </c:tx>
          <c:invertIfNegative val="0"/>
          <c:dPt>
            <c:idx val="5"/>
            <c:invertIfNegative val="0"/>
            <c:bubble3D val="0"/>
            <c:spPr>
              <a:solidFill>
                <a:schemeClr val="accent2">
                  <a:lumMod val="60000"/>
                  <a:lumOff val="40000"/>
                </a:schemeClr>
              </a:solidFill>
            </c:spPr>
          </c:dPt>
          <c:cat>
            <c:strRef>
              <c:f>asistentes!$A$2:$A$8</c:f>
              <c:strCache>
                <c:ptCount val="7"/>
                <c:pt idx="0">
                  <c:v>Universitat de Barcelona</c:v>
                </c:pt>
                <c:pt idx="1">
                  <c:v>Universidad Complutense</c:v>
                </c:pt>
                <c:pt idx="2">
                  <c:v>Universidad de Granada</c:v>
                </c:pt>
                <c:pt idx="3">
                  <c:v>Universidad de Málaga</c:v>
                </c:pt>
                <c:pt idx="4">
                  <c:v>Universitat Politècnica de Catalunya</c:v>
                </c:pt>
                <c:pt idx="5">
                  <c:v>Universidad de Sevilla</c:v>
                </c:pt>
                <c:pt idx="6">
                  <c:v>.Universitat de València</c:v>
                </c:pt>
              </c:strCache>
            </c:strRef>
          </c:cat>
          <c:val>
            <c:numRef>
              <c:f>asistentes!$D$2:$D$8</c:f>
              <c:numCache>
                <c:formatCode>General</c:formatCode>
                <c:ptCount val="7"/>
                <c:pt idx="0">
                  <c:v>9286</c:v>
                </c:pt>
                <c:pt idx="1">
                  <c:v>0</c:v>
                </c:pt>
                <c:pt idx="2">
                  <c:v>6663</c:v>
                </c:pt>
                <c:pt idx="3">
                  <c:v>1870</c:v>
                </c:pt>
                <c:pt idx="4">
                  <c:v>8666</c:v>
                </c:pt>
                <c:pt idx="5">
                  <c:v>17957</c:v>
                </c:pt>
                <c:pt idx="6">
                  <c:v>14709</c:v>
                </c:pt>
              </c:numCache>
            </c:numRef>
          </c:val>
        </c:ser>
        <c:ser>
          <c:idx val="3"/>
          <c:order val="3"/>
          <c:tx>
            <c:strRef>
              <c:f>asistentes!$E$1</c:f>
              <c:strCache>
                <c:ptCount val="1"/>
                <c:pt idx="0">
                  <c:v>2014</c:v>
                </c:pt>
              </c:strCache>
            </c:strRef>
          </c:tx>
          <c:invertIfNegative val="0"/>
          <c:dPt>
            <c:idx val="5"/>
            <c:invertIfNegative val="0"/>
            <c:bubble3D val="0"/>
            <c:spPr>
              <a:solidFill>
                <a:schemeClr val="accent2">
                  <a:lumMod val="40000"/>
                  <a:lumOff val="60000"/>
                </a:schemeClr>
              </a:solidFill>
            </c:spPr>
          </c:dPt>
          <c:cat>
            <c:strRef>
              <c:f>asistentes!$A$2:$A$8</c:f>
              <c:strCache>
                <c:ptCount val="7"/>
                <c:pt idx="0">
                  <c:v>Universitat de Barcelona</c:v>
                </c:pt>
                <c:pt idx="1">
                  <c:v>Universidad Complutense</c:v>
                </c:pt>
                <c:pt idx="2">
                  <c:v>Universidad de Granada</c:v>
                </c:pt>
                <c:pt idx="3">
                  <c:v>Universidad de Málaga</c:v>
                </c:pt>
                <c:pt idx="4">
                  <c:v>Universitat Politècnica de Catalunya</c:v>
                </c:pt>
                <c:pt idx="5">
                  <c:v>Universidad de Sevilla</c:v>
                </c:pt>
                <c:pt idx="6">
                  <c:v>.Universitat de València</c:v>
                </c:pt>
              </c:strCache>
            </c:strRef>
          </c:cat>
          <c:val>
            <c:numRef>
              <c:f>asistentes!$E$2:$E$8</c:f>
              <c:numCache>
                <c:formatCode>General</c:formatCode>
                <c:ptCount val="7"/>
                <c:pt idx="0">
                  <c:v>10503</c:v>
                </c:pt>
                <c:pt idx="1">
                  <c:v>13563</c:v>
                </c:pt>
                <c:pt idx="2">
                  <c:v>7784</c:v>
                </c:pt>
                <c:pt idx="3">
                  <c:v>6705</c:v>
                </c:pt>
                <c:pt idx="4">
                  <c:v>10184</c:v>
                </c:pt>
                <c:pt idx="5">
                  <c:v>19026</c:v>
                </c:pt>
                <c:pt idx="6">
                  <c:v>15235</c:v>
                </c:pt>
              </c:numCache>
            </c:numRef>
          </c:val>
        </c:ser>
        <c:ser>
          <c:idx val="4"/>
          <c:order val="4"/>
          <c:tx>
            <c:strRef>
              <c:f>asistentes!$F$1</c:f>
              <c:strCache>
                <c:ptCount val="1"/>
                <c:pt idx="0">
                  <c:v>2015</c:v>
                </c:pt>
              </c:strCache>
            </c:strRef>
          </c:tx>
          <c:invertIfNegative val="0"/>
          <c:dPt>
            <c:idx val="5"/>
            <c:invertIfNegative val="0"/>
            <c:bubble3D val="0"/>
            <c:spPr>
              <a:solidFill>
                <a:schemeClr val="accent2">
                  <a:lumMod val="20000"/>
                  <a:lumOff val="80000"/>
                </a:schemeClr>
              </a:solidFill>
            </c:spPr>
          </c:dPt>
          <c:cat>
            <c:strRef>
              <c:f>asistentes!$A$2:$A$8</c:f>
              <c:strCache>
                <c:ptCount val="7"/>
                <c:pt idx="0">
                  <c:v>Universitat de Barcelona</c:v>
                </c:pt>
                <c:pt idx="1">
                  <c:v>Universidad Complutense</c:v>
                </c:pt>
                <c:pt idx="2">
                  <c:v>Universidad de Granada</c:v>
                </c:pt>
                <c:pt idx="3">
                  <c:v>Universidad de Málaga</c:v>
                </c:pt>
                <c:pt idx="4">
                  <c:v>Universitat Politècnica de Catalunya</c:v>
                </c:pt>
                <c:pt idx="5">
                  <c:v>Universidad de Sevilla</c:v>
                </c:pt>
                <c:pt idx="6">
                  <c:v>.Universitat de València</c:v>
                </c:pt>
              </c:strCache>
            </c:strRef>
          </c:cat>
          <c:val>
            <c:numRef>
              <c:f>asistentes!$F$2:$F$8</c:f>
              <c:numCache>
                <c:formatCode>#,##0</c:formatCode>
                <c:ptCount val="7"/>
                <c:pt idx="0">
                  <c:v>10130</c:v>
                </c:pt>
                <c:pt idx="1">
                  <c:v>15596</c:v>
                </c:pt>
                <c:pt idx="2">
                  <c:v>8497</c:v>
                </c:pt>
                <c:pt idx="3">
                  <c:v>2979</c:v>
                </c:pt>
                <c:pt idx="4">
                  <c:v>9751</c:v>
                </c:pt>
                <c:pt idx="5">
                  <c:v>22129</c:v>
                </c:pt>
                <c:pt idx="6">
                  <c:v>12365</c:v>
                </c:pt>
              </c:numCache>
            </c:numRef>
          </c:val>
        </c:ser>
        <c:dLbls>
          <c:showLegendKey val="0"/>
          <c:showVal val="0"/>
          <c:showCatName val="0"/>
          <c:showSerName val="0"/>
          <c:showPercent val="0"/>
          <c:showBubbleSize val="0"/>
        </c:dLbls>
        <c:gapWidth val="150"/>
        <c:axId val="568964616"/>
        <c:axId val="568964224"/>
      </c:barChart>
      <c:catAx>
        <c:axId val="568964616"/>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568964224"/>
        <c:crosses val="autoZero"/>
        <c:auto val="1"/>
        <c:lblAlgn val="ctr"/>
        <c:lblOffset val="100"/>
        <c:noMultiLvlLbl val="0"/>
      </c:catAx>
      <c:valAx>
        <c:axId val="568964224"/>
        <c:scaling>
          <c:orientation val="minMax"/>
        </c:scaling>
        <c:delete val="0"/>
        <c:axPos val="l"/>
        <c:majorGridlines/>
        <c:numFmt formatCode="General" sourceLinked="1"/>
        <c:majorTickMark val="none"/>
        <c:minorTickMark val="none"/>
        <c:tickLblPos val="nextTo"/>
        <c:txPr>
          <a:bodyPr rot="-60000000" vert="horz"/>
          <a:lstStyle/>
          <a:p>
            <a:pPr>
              <a:defRPr/>
            </a:pPr>
            <a:endParaRPr lang="es-ES"/>
          </a:p>
        </c:txPr>
        <c:crossAx val="5689646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9730-40FB-4BA2-B437-7DB31777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_Informe Breve</Template>
  <TotalTime>0</TotalTime>
  <Pages>6</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Juan Ángel</cp:lastModifiedBy>
  <cp:revision>2</cp:revision>
  <cp:lastPrinted>2016-11-10T10:35:00Z</cp:lastPrinted>
  <dcterms:created xsi:type="dcterms:W3CDTF">2016-11-18T13:14:00Z</dcterms:created>
  <dcterms:modified xsi:type="dcterms:W3CDTF">2016-11-18T13:14:00Z</dcterms:modified>
</cp:coreProperties>
</file>