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C0D" w:rsidRDefault="00C22F04" w:rsidP="00C22F04">
      <w:pPr>
        <w:spacing w:after="0" w:line="240" w:lineRule="auto"/>
        <w:jc w:val="right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                                                                            </w:t>
      </w:r>
    </w:p>
    <w:p w:rsidR="00124814" w:rsidRDefault="00124814" w:rsidP="00C22F04">
      <w:pPr>
        <w:spacing w:after="0" w:line="240" w:lineRule="auto"/>
        <w:jc w:val="right"/>
        <w:rPr>
          <w:b/>
          <w:color w:val="404040" w:themeColor="text1" w:themeTint="BF"/>
        </w:rPr>
      </w:pPr>
    </w:p>
    <w:p w:rsidR="00124814" w:rsidRPr="0011072B" w:rsidRDefault="00ED7787" w:rsidP="00995F1B">
      <w:pPr>
        <w:tabs>
          <w:tab w:val="left" w:pos="1297"/>
          <w:tab w:val="left" w:pos="3432"/>
        </w:tabs>
        <w:spacing w:after="0" w:line="240" w:lineRule="auto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Buena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 Prácticas</w:t>
      </w:r>
      <w:r w:rsidR="00124814"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de la BUS</w:t>
      </w:r>
      <w:r w:rsid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: </w:t>
      </w:r>
      <w:r w:rsidR="00995F1B" w:rsidRPr="00995F1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Gestión integrada de la estrategia: Plan Estratégico y Carta de Servicios</w:t>
      </w:r>
    </w:p>
    <w:p w:rsidR="00E54BBC" w:rsidRPr="00124814" w:rsidRDefault="00E54BBC" w:rsidP="00124814">
      <w:pPr>
        <w:jc w:val="center"/>
        <w:rPr>
          <w:b/>
          <w:sz w:val="24"/>
          <w:szCs w:val="24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995F1B" w:rsidRDefault="00995F1B" w:rsidP="00995F1B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995F1B" w:rsidRDefault="00995F1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El objetivo es d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otar a la aplicación </w:t>
      </w:r>
      <w:hyperlink r:id="rId7" w:history="1">
        <w:r w:rsidRPr="00995F1B">
          <w:rPr>
            <w:rStyle w:val="Hipervnculo"/>
            <w:rFonts w:ascii="Cambria" w:eastAsia="Times New Roman" w:hAnsi="Cambria" w:cs="Times New Roman"/>
            <w:bCs/>
            <w:i/>
            <w:sz w:val="24"/>
            <w:szCs w:val="24"/>
            <w:lang w:eastAsia="es-ES"/>
          </w:rPr>
          <w:t>ICASUS</w:t>
        </w:r>
      </w:hyperlink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-</w:t>
      </w:r>
      <w:r w:rsidRPr="00995F1B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Indicadores de Calidad de los Servicios de la US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-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de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n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uevas funcionalidades que permitan la gestión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estratégica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y el seguimiento de la </w:t>
      </w:r>
      <w:hyperlink r:id="rId8" w:history="1">
        <w:r w:rsidRPr="00995F1B">
          <w:rPr>
            <w:rStyle w:val="Hipervnculo"/>
            <w:rFonts w:ascii="Cambria" w:eastAsia="Times New Roman" w:hAnsi="Cambria" w:cs="Times New Roman"/>
            <w:bCs/>
            <w:i/>
            <w:sz w:val="24"/>
            <w:szCs w:val="24"/>
            <w:lang w:eastAsia="es-ES"/>
          </w:rPr>
          <w:t>Carta de Servicio</w:t>
        </w:r>
      </w:hyperlink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. Con ello se aglutina en una misma herramienta toda la información disponible sobre planes, procesos, cuadros de mando, indicadores, que permita su control y seguimiento, ayude en el análisis de resultados y facilite la toma de decisiones.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</w:p>
    <w:p w:rsidR="00995F1B" w:rsidRDefault="00995F1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995F1B" w:rsidRPr="00995F1B" w:rsidRDefault="00995F1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995F1B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</w:t>
      </w:r>
      <w:r w:rsidR="00647073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CASUS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es la aplicación corporativa de la US para la gestión de la calidad. Es, por tanto, una herramienta indispensable para lograr una gestión integrada orientada a desarrollar una cultura de excelencia en toda la Universidad de Sevilla. Además de recoger y explotar valores que son la base de la planificación, desarrollo y evaluación de resultados para la toma de decisiones,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permite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la puesta en marcha de planes de acción que mantengan y mejoren los procesos de los diferentes servicios y unidades de la US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. 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De esta forma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proofErr w:type="spellStart"/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integra</w:t>
      </w:r>
      <w:proofErr w:type="spellEnd"/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eficazmente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todos los objetos necesarios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: Planes estratégicos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-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obj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etivos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estratégicos, operacionales, indicadores de control y correlación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-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; Cartas de servicios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-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servicios, compromisos, indicadores de medición de compromisos alcanzados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-; y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Cuadros de mando (C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uadro de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M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ando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I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ntegral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; C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uadro de 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M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ando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de procesos,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C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uadro de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M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ando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de Cartas de Servicios, Datos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REBIUN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C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uadro de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M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ando</w:t>
      </w:r>
      <w:r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de cada biblioteca, </w:t>
      </w:r>
      <w:r w:rsidR="00647073" w:rsidRPr="00995F1B">
        <w:rPr>
          <w:rFonts w:ascii="Cambria" w:eastAsia="Times New Roman" w:hAnsi="Cambria" w:cs="Times New Roman"/>
          <w:bCs/>
          <w:sz w:val="24"/>
          <w:szCs w:val="24"/>
          <w:lang w:eastAsia="es-ES"/>
        </w:rPr>
        <w:t>etc.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-.</w:t>
      </w:r>
    </w:p>
    <w:p w:rsidR="0011072B" w:rsidRPr="00995F1B" w:rsidRDefault="0011072B" w:rsidP="00995F1B">
      <w:pPr>
        <w:pStyle w:val="Prrafodelista"/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s-ES"/>
        </w:rPr>
      </w:pPr>
    </w:p>
    <w:p w:rsidR="0011072B" w:rsidRPr="00EA6A86" w:rsidRDefault="0011072B" w:rsidP="00EA6A86">
      <w:pPr>
        <w:spacing w:after="160" w:line="259" w:lineRule="auto"/>
        <w:jc w:val="both"/>
        <w:rPr>
          <w:rFonts w:eastAsia="Calibri" w:cstheme="minorHAnsi"/>
          <w:color w:val="FF0000"/>
          <w:lang w:eastAsia="es-ES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Desarrollo e implantación</w:t>
      </w:r>
    </w:p>
    <w:p w:rsidR="00647073" w:rsidRDefault="00647073" w:rsidP="00647073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47073" w:rsidRDefault="00647073" w:rsidP="0064707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La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aplicación web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basada en 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software libre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, fue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desarrollada conjuntamente por el Área de Recursos Humanos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-desde ahora, RRHH-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y la Biblioteca de la Universidad de Sevilla. Es la 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h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erramienta para la implantación y el seguimiento de un sistema de gestión de calidad para todas las Unidades y Servicios de la US al englobar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,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en varios módulos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,</w:t>
      </w:r>
      <w:r w:rsidR="00995F1B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toda la gestión de calidad: Procesos, Indicadores, Cuadros de Mandos, Planes estratégicos y Cartas de servicios.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</w:p>
    <w:p w:rsidR="00647073" w:rsidRDefault="00647073" w:rsidP="0064707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647073" w:rsidRDefault="00995F1B" w:rsidP="0064707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Sus orígenes se remontan a 2008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cuando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RRHH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elaboró su primera versión con el objetivo de centralizar las mediciones de los indicadores de calidad de la administración y servicios de la US. En 2012 se incorpora la Biblioteca al proyecto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,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poniendo en marcha la versión 2, mucho más ambiciosa, con la capacidad de realizar mediciones en varias subunidades simultáneamente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crear indicadores calculados a partir de otros preexistentes, y la creación de distintos módulos. Actualmente se encuentra en la versión 3.3</w:t>
      </w:r>
      <w:r w:rsidR="00647073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, en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la que se </w:t>
      </w:r>
      <w:r w:rsidR="00647073"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han implementado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los módulos de Planes estratégicos y Cartas de servicios. 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É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st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a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mejora supone el control total de toda la gestión estratégica en una única herramienta.</w:t>
      </w:r>
      <w:r w:rsid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</w:p>
    <w:p w:rsidR="00647073" w:rsidRDefault="00647073" w:rsidP="0064707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943CE4" w:rsidRDefault="00995F1B" w:rsidP="00943CE4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lastRenderedPageBreak/>
        <w:t xml:space="preserve">El área de RRHH contó desde un primer momento con la Biblioteca para el desarrollo de la aplicación, pues fue uno de los primeros servicios donde la planificación estratégica y la gestión por procesos es su </w:t>
      </w:r>
      <w:r w:rsidRPr="00943CE4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modus operandi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>. Desde la Biblioteca se iban marcando las necesidades de desarrollo y mejora de la aplicación, en un trabajo continuo y conjunto entre los dos servicios.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</w:p>
    <w:p w:rsidR="00943CE4" w:rsidRDefault="00943CE4" w:rsidP="00943CE4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995F1B" w:rsidRDefault="00995F1B" w:rsidP="00943CE4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La BUS es la unidad cuya gestión integrada en la herramienta se realiza por completo. Planes estratégicos, 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>C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artas de compromiso, 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>P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rocesos, 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>I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ndicadores y 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>C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uadros de </w:t>
      </w:r>
      <w:r w:rsidR="00943CE4">
        <w:rPr>
          <w:rFonts w:ascii="Cambria" w:eastAsia="Times New Roman" w:hAnsi="Cambria" w:cs="Times New Roman"/>
          <w:bCs/>
          <w:sz w:val="24"/>
          <w:szCs w:val="24"/>
          <w:lang w:eastAsia="es-ES"/>
        </w:rPr>
        <w:t>M</w:t>
      </w:r>
      <w:r w:rsidRPr="00647073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ando están totalmente administrados de forma en que todo el sistema de gestión está interrelacionado. </w:t>
      </w:r>
    </w:p>
    <w:p w:rsidR="00943CE4" w:rsidRDefault="00943CE4" w:rsidP="00943CE4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943CE4" w:rsidRDefault="00765A3B" w:rsidP="00943CE4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1C622A72" wp14:editId="011D2487">
            <wp:extent cx="5671185" cy="2300605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F1B" w:rsidRPr="00943CE4" w:rsidRDefault="00765A3B" w:rsidP="00765A3B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1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 w:rsidR="00995F1B" w:rsidRPr="00943CE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Gestión integrada de la estrategia en I</w:t>
      </w:r>
      <w:r w:rsidR="00943CE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CASUS</w:t>
      </w:r>
    </w:p>
    <w:p w:rsidR="00995F1B" w:rsidRPr="00995F1B" w:rsidRDefault="00995F1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AD501B" w:rsidRDefault="00943CE4" w:rsidP="00AD501B">
      <w:pPr>
        <w:jc w:val="both"/>
        <w:rPr>
          <w:rFonts w:ascii="Cambria" w:eastAsia="Calibri" w:hAnsi="Cambria" w:cstheme="minorHAnsi"/>
          <w:b/>
          <w:sz w:val="24"/>
          <w:szCs w:val="24"/>
        </w:rPr>
      </w:pPr>
      <w:r w:rsidRPr="00AD501B">
        <w:rPr>
          <w:rFonts w:ascii="Cambria" w:eastAsia="Calibri" w:hAnsi="Cambria" w:cstheme="minorHAnsi"/>
          <w:sz w:val="24"/>
          <w:szCs w:val="24"/>
        </w:rPr>
        <w:t xml:space="preserve">La Unidad BUS en </w:t>
      </w:r>
      <w:r w:rsidRPr="00AD501B">
        <w:rPr>
          <w:rFonts w:ascii="Cambria" w:eastAsia="Calibri" w:hAnsi="Cambria" w:cstheme="minorHAnsi"/>
          <w:i/>
          <w:sz w:val="24"/>
          <w:szCs w:val="24"/>
        </w:rPr>
        <w:t>ICASUS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</w:t>
      </w:r>
      <w:r w:rsidRPr="00AD501B">
        <w:rPr>
          <w:rFonts w:ascii="Cambria" w:eastAsia="Calibri" w:hAnsi="Cambria" w:cstheme="minorHAnsi"/>
          <w:b/>
          <w:sz w:val="24"/>
          <w:szCs w:val="24"/>
        </w:rPr>
        <w:t>contiene toda la información del sistema de gestión</w:t>
      </w:r>
      <w:r w:rsidR="00AD501B">
        <w:rPr>
          <w:rFonts w:ascii="Cambria" w:eastAsia="Calibri" w:hAnsi="Cambria" w:cstheme="minorHAnsi"/>
          <w:b/>
          <w:sz w:val="24"/>
          <w:szCs w:val="24"/>
        </w:rPr>
        <w:t>:</w:t>
      </w:r>
    </w:p>
    <w:p w:rsidR="00943CE4" w:rsidRPr="00AD501B" w:rsidRDefault="00943CE4" w:rsidP="00AD501B">
      <w:pPr>
        <w:pStyle w:val="Prrafodelista"/>
        <w:numPr>
          <w:ilvl w:val="0"/>
          <w:numId w:val="14"/>
        </w:numPr>
        <w:jc w:val="both"/>
        <w:rPr>
          <w:rFonts w:ascii="Cambria" w:eastAsia="Calibri" w:hAnsi="Cambria" w:cstheme="minorHAnsi"/>
          <w:sz w:val="24"/>
          <w:szCs w:val="24"/>
        </w:rPr>
      </w:pPr>
      <w:hyperlink r:id="rId10" w:anchor="proc_map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Mapa de Procesos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 xml:space="preserve"> en forma de diagrama con enlaces a cada ficha del proceso</w:t>
      </w:r>
      <w:r w:rsidR="00AD501B">
        <w:rPr>
          <w:rFonts w:ascii="Cambria" w:eastAsia="Calibri" w:hAnsi="Cambria" w:cstheme="minorHAnsi"/>
          <w:sz w:val="24"/>
          <w:szCs w:val="24"/>
        </w:rPr>
        <w:t>.</w:t>
      </w:r>
    </w:p>
    <w:p w:rsidR="00943CE4" w:rsidRPr="00AD501B" w:rsidRDefault="00943CE4" w:rsidP="00943CE4">
      <w:pPr>
        <w:pStyle w:val="Prrafodelista"/>
        <w:numPr>
          <w:ilvl w:val="0"/>
          <w:numId w:val="13"/>
        </w:numPr>
        <w:jc w:val="both"/>
        <w:rPr>
          <w:rFonts w:ascii="Cambria" w:eastAsia="Calibri" w:hAnsi="Cambria" w:cstheme="minorHAnsi"/>
          <w:sz w:val="24"/>
          <w:szCs w:val="24"/>
        </w:rPr>
      </w:pPr>
      <w:hyperlink r:id="rId11" w:anchor="proc_list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Procesos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 xml:space="preserve"> (14): Fichas con toda la información del proceso, flujogramas, indicadores, archivos, etc.</w:t>
      </w:r>
    </w:p>
    <w:p w:rsidR="00943CE4" w:rsidRDefault="00943CE4" w:rsidP="00943CE4">
      <w:pPr>
        <w:pStyle w:val="Prrafodelista"/>
        <w:numPr>
          <w:ilvl w:val="0"/>
          <w:numId w:val="13"/>
        </w:numPr>
        <w:jc w:val="both"/>
        <w:rPr>
          <w:rFonts w:ascii="Cambria" w:eastAsia="Calibri" w:hAnsi="Cambria" w:cstheme="minorHAnsi"/>
          <w:sz w:val="24"/>
          <w:szCs w:val="24"/>
        </w:rPr>
      </w:pPr>
      <w:hyperlink r:id="rId12" w:anchor="indic_list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Indicadores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>/</w:t>
      </w:r>
      <w:hyperlink r:id="rId13" w:anchor="dato_list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Datos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 xml:space="preserve"> (469): indicadores de procesos, de las cartas de compromisos, indicadores de control correspondientes a </w:t>
      </w:r>
      <w:r w:rsidR="00AD501B">
        <w:rPr>
          <w:rFonts w:ascii="Cambria" w:eastAsia="Calibri" w:hAnsi="Cambria" w:cstheme="minorHAnsi"/>
          <w:sz w:val="24"/>
          <w:szCs w:val="24"/>
        </w:rPr>
        <w:t>P</w:t>
      </w:r>
      <w:r w:rsidRPr="00AD501B">
        <w:rPr>
          <w:rFonts w:ascii="Cambria" w:eastAsia="Calibri" w:hAnsi="Cambria" w:cstheme="minorHAnsi"/>
          <w:sz w:val="24"/>
          <w:szCs w:val="24"/>
        </w:rPr>
        <w:t>lanes estratégicos y datos absolutos (tanto los recogidos por R</w:t>
      </w:r>
      <w:r w:rsidR="00AD501B">
        <w:rPr>
          <w:rFonts w:ascii="Cambria" w:eastAsia="Calibri" w:hAnsi="Cambria" w:cstheme="minorHAnsi"/>
          <w:sz w:val="24"/>
          <w:szCs w:val="24"/>
        </w:rPr>
        <w:t>EBIUN,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como los dados en la </w:t>
      </w:r>
      <w:r w:rsidRPr="00AD501B">
        <w:rPr>
          <w:rFonts w:ascii="Cambria" w:eastAsia="Calibri" w:hAnsi="Cambria" w:cstheme="minorHAnsi"/>
          <w:i/>
          <w:sz w:val="24"/>
          <w:szCs w:val="24"/>
        </w:rPr>
        <w:t>Memoria de Actividades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de la BUS) tienen en este módulo sus fichas completas con toda la información sobre qué, cómo, </w:t>
      </w:r>
      <w:bookmarkStart w:id="0" w:name="OLE_LINK1"/>
      <w:bookmarkStart w:id="1" w:name="OLE_LINK2"/>
      <w:r w:rsidRPr="00AD501B">
        <w:rPr>
          <w:rFonts w:ascii="Cambria" w:eastAsia="Calibri" w:hAnsi="Cambria" w:cstheme="minorHAnsi"/>
          <w:sz w:val="24"/>
          <w:szCs w:val="24"/>
        </w:rPr>
        <w:t xml:space="preserve">quién y cuándo </w:t>
      </w:r>
      <w:bookmarkEnd w:id="0"/>
      <w:bookmarkEnd w:id="1"/>
      <w:r w:rsidRPr="00AD501B">
        <w:rPr>
          <w:rFonts w:ascii="Cambria" w:eastAsia="Calibri" w:hAnsi="Cambria" w:cstheme="minorHAnsi"/>
          <w:sz w:val="24"/>
          <w:szCs w:val="24"/>
        </w:rPr>
        <w:t>se mide</w:t>
      </w:r>
      <w:r w:rsidR="00AD501B">
        <w:rPr>
          <w:rFonts w:ascii="Cambria" w:eastAsia="Calibri" w:hAnsi="Cambria" w:cstheme="minorHAnsi"/>
          <w:sz w:val="24"/>
          <w:szCs w:val="24"/>
        </w:rPr>
        <w:t>n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, </w:t>
      </w:r>
      <w:r w:rsidR="00AD501B">
        <w:rPr>
          <w:rFonts w:ascii="Cambria" w:eastAsia="Calibri" w:hAnsi="Cambria" w:cstheme="minorHAnsi"/>
          <w:sz w:val="24"/>
          <w:szCs w:val="24"/>
        </w:rPr>
        <w:t xml:space="preserve">sus </w:t>
      </w:r>
      <w:r w:rsidRPr="00AD501B">
        <w:rPr>
          <w:rFonts w:ascii="Cambria" w:eastAsia="Calibri" w:hAnsi="Cambria" w:cstheme="minorHAnsi"/>
          <w:sz w:val="24"/>
          <w:szCs w:val="24"/>
        </w:rPr>
        <w:t>valores de referencia (meta y límite), gráficas, así como el análisis  y el plan de acción correspondiente para cada medición. Los valores se ofrecen tanto a nivel de unidad BUS como por Biblioteca de Área en los casos pertinentes.</w:t>
      </w:r>
    </w:p>
    <w:p w:rsidR="00AD501B" w:rsidRPr="00AD501B" w:rsidRDefault="00943CE4" w:rsidP="00943CE4">
      <w:pPr>
        <w:pStyle w:val="Prrafodelista"/>
        <w:keepNext/>
        <w:numPr>
          <w:ilvl w:val="0"/>
          <w:numId w:val="13"/>
        </w:numPr>
        <w:spacing w:line="259" w:lineRule="auto"/>
        <w:jc w:val="both"/>
        <w:rPr>
          <w:rFonts w:eastAsia="Calibri" w:cstheme="minorHAnsi"/>
          <w:sz w:val="20"/>
        </w:rPr>
      </w:pPr>
      <w:hyperlink r:id="rId14" w:anchor="cuadro_list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Cuadros de Mando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 xml:space="preserve"> (5</w:t>
      </w:r>
      <w:r w:rsidR="00765A3B">
        <w:rPr>
          <w:rFonts w:ascii="Cambria" w:eastAsia="Calibri" w:hAnsi="Cambria" w:cstheme="minorHAnsi"/>
          <w:sz w:val="24"/>
          <w:szCs w:val="24"/>
        </w:rPr>
        <w:t>5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): Este módulo es uno de los más </w:t>
      </w:r>
      <w:proofErr w:type="gramStart"/>
      <w:r w:rsidRPr="00AD501B">
        <w:rPr>
          <w:rFonts w:ascii="Cambria" w:eastAsia="Calibri" w:hAnsi="Cambria" w:cstheme="minorHAnsi"/>
          <w:sz w:val="24"/>
          <w:szCs w:val="24"/>
        </w:rPr>
        <w:t>importantes</w:t>
      </w:r>
      <w:r w:rsidR="00AD501B" w:rsidRPr="00AD501B">
        <w:rPr>
          <w:rFonts w:ascii="Cambria" w:eastAsia="Calibri" w:hAnsi="Cambria" w:cstheme="minorHAnsi"/>
          <w:sz w:val="24"/>
          <w:szCs w:val="24"/>
        </w:rPr>
        <w:t xml:space="preserve">, 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pues</w:t>
      </w:r>
      <w:proofErr w:type="gramEnd"/>
      <w:r w:rsidRPr="00AD501B">
        <w:rPr>
          <w:rFonts w:ascii="Cambria" w:eastAsia="Calibri" w:hAnsi="Cambria" w:cstheme="minorHAnsi"/>
          <w:sz w:val="24"/>
          <w:szCs w:val="24"/>
        </w:rPr>
        <w:t xml:space="preserve"> incluimos tanto el CMI de la BUS, como </w:t>
      </w:r>
      <w:r w:rsidR="00AD501B" w:rsidRPr="00AD501B">
        <w:rPr>
          <w:rFonts w:ascii="Cambria" w:eastAsia="Calibri" w:hAnsi="Cambria" w:cstheme="minorHAnsi"/>
          <w:sz w:val="24"/>
          <w:szCs w:val="24"/>
        </w:rPr>
        <w:t xml:space="preserve">los Cuadros de Mando 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de las Cartas de Servicios, </w:t>
      </w:r>
      <w:r w:rsidR="00AD501B" w:rsidRPr="00AD501B">
        <w:rPr>
          <w:rFonts w:ascii="Cambria" w:eastAsia="Calibri" w:hAnsi="Cambria" w:cstheme="minorHAnsi"/>
          <w:sz w:val="24"/>
          <w:szCs w:val="24"/>
        </w:rPr>
        <w:t>el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de cada uno de los Procesos, </w:t>
      </w:r>
      <w:r w:rsidR="00AD501B" w:rsidRPr="00AD501B">
        <w:rPr>
          <w:rFonts w:ascii="Cambria" w:eastAsia="Calibri" w:hAnsi="Cambria" w:cstheme="minorHAnsi"/>
          <w:sz w:val="24"/>
          <w:szCs w:val="24"/>
        </w:rPr>
        <w:t>el de los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datos del Formulario </w:t>
      </w:r>
      <w:r w:rsidR="00AD501B" w:rsidRPr="00AD501B">
        <w:rPr>
          <w:rFonts w:ascii="Cambria" w:eastAsia="Calibri" w:hAnsi="Cambria" w:cstheme="minorHAnsi"/>
          <w:sz w:val="24"/>
          <w:szCs w:val="24"/>
        </w:rPr>
        <w:t xml:space="preserve">REBIUN </w:t>
      </w:r>
      <w:r w:rsidR="00AD501B" w:rsidRPr="00AD501B">
        <w:rPr>
          <w:rFonts w:ascii="Cambria" w:eastAsia="Calibri" w:hAnsi="Cambria" w:cstheme="minorHAnsi"/>
          <w:sz w:val="24"/>
          <w:szCs w:val="24"/>
        </w:rPr>
        <w:lastRenderedPageBreak/>
        <w:t xml:space="preserve">en el que se </w:t>
      </w:r>
      <w:r w:rsidRPr="00AD501B">
        <w:rPr>
          <w:rFonts w:ascii="Cambria" w:eastAsia="Calibri" w:hAnsi="Cambria" w:cstheme="minorHAnsi"/>
          <w:sz w:val="24"/>
          <w:szCs w:val="24"/>
        </w:rPr>
        <w:t>realiza una comparativa de las dos últimas mediciones</w:t>
      </w:r>
      <w:r w:rsidR="00AD501B" w:rsidRPr="00AD501B">
        <w:rPr>
          <w:rFonts w:ascii="Cambria" w:eastAsia="Calibri" w:hAnsi="Cambria" w:cstheme="minorHAnsi"/>
          <w:sz w:val="24"/>
          <w:szCs w:val="24"/>
        </w:rPr>
        <w:t>-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, </w:t>
      </w:r>
      <w:r w:rsidR="00AD501B" w:rsidRPr="00AD501B">
        <w:rPr>
          <w:rFonts w:ascii="Cambria" w:eastAsia="Calibri" w:hAnsi="Cambria" w:cstheme="minorHAnsi"/>
          <w:sz w:val="24"/>
          <w:szCs w:val="24"/>
        </w:rPr>
        <w:t xml:space="preserve">y  los 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CMI y CM de cifras de cada una de las Bibliotecas de Área. </w:t>
      </w:r>
    </w:p>
    <w:p w:rsidR="00943CE4" w:rsidRPr="00AD501B" w:rsidRDefault="00943CE4" w:rsidP="00943CE4">
      <w:pPr>
        <w:pStyle w:val="Prrafodelista"/>
        <w:keepNext/>
        <w:numPr>
          <w:ilvl w:val="0"/>
          <w:numId w:val="13"/>
        </w:numPr>
        <w:spacing w:line="259" w:lineRule="auto"/>
        <w:jc w:val="both"/>
        <w:rPr>
          <w:rFonts w:ascii="Cambria" w:eastAsia="Calibri" w:hAnsi="Cambria" w:cstheme="minorHAnsi"/>
          <w:sz w:val="24"/>
          <w:szCs w:val="24"/>
        </w:rPr>
      </w:pPr>
      <w:hyperlink r:id="rId15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Consulta avanzada:</w:t>
        </w:r>
      </w:hyperlink>
      <w:r w:rsidR="00765A3B">
        <w:rPr>
          <w:rStyle w:val="Hipervnculo"/>
          <w:rFonts w:ascii="Cambria" w:eastAsia="Calibri" w:hAnsi="Cambria" w:cstheme="minorHAnsi"/>
          <w:sz w:val="24"/>
          <w:szCs w:val="24"/>
          <w:u w:val="none"/>
        </w:rPr>
        <w:t xml:space="preserve"> 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A través de esta pantalla se pueden realizar consultas a medida para calcular indicadores de control, rendimiento y resultados que no estén establecidos como indicadores de procesos. </w:t>
      </w:r>
    </w:p>
    <w:p w:rsidR="00943CE4" w:rsidRPr="00765A3B" w:rsidRDefault="00943CE4" w:rsidP="00943CE4">
      <w:pPr>
        <w:pStyle w:val="Prrafodelista"/>
        <w:keepNext/>
        <w:numPr>
          <w:ilvl w:val="0"/>
          <w:numId w:val="13"/>
        </w:numPr>
        <w:spacing w:line="259" w:lineRule="auto"/>
        <w:jc w:val="both"/>
        <w:rPr>
          <w:rFonts w:ascii="Cambria" w:eastAsia="Calibri" w:hAnsi="Cambria" w:cstheme="minorHAnsi"/>
          <w:sz w:val="24"/>
          <w:szCs w:val="24"/>
        </w:rPr>
      </w:pPr>
      <w:hyperlink r:id="rId16" w:anchor="unid_planes" w:history="1"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 xml:space="preserve">Planes </w:t>
        </w:r>
        <w:r w:rsidR="00765A3B">
          <w:rPr>
            <w:rStyle w:val="Hipervnculo"/>
            <w:rFonts w:ascii="Cambria" w:eastAsia="Calibri" w:hAnsi="Cambria" w:cstheme="minorHAnsi"/>
            <w:sz w:val="24"/>
            <w:szCs w:val="24"/>
          </w:rPr>
          <w:t>e</w:t>
        </w:r>
        <w:r w:rsidRPr="00AD501B">
          <w:rPr>
            <w:rStyle w:val="Hipervnculo"/>
            <w:rFonts w:ascii="Cambria" w:eastAsia="Calibri" w:hAnsi="Cambria" w:cstheme="minorHAnsi"/>
            <w:sz w:val="24"/>
            <w:szCs w:val="24"/>
          </w:rPr>
          <w:t>stratégicos:</w:t>
        </w:r>
      </w:hyperlink>
      <w:r w:rsidRPr="00AD501B">
        <w:rPr>
          <w:rFonts w:ascii="Cambria" w:eastAsia="Calibri" w:hAnsi="Cambria" w:cstheme="minorHAnsi"/>
          <w:sz w:val="24"/>
          <w:szCs w:val="24"/>
        </w:rPr>
        <w:t xml:space="preserve">  Es uno de los últimos desarrollos de la aplicación,</w:t>
      </w:r>
      <w:r w:rsidR="00765A3B">
        <w:rPr>
          <w:rFonts w:ascii="Cambria" w:eastAsia="Calibri" w:hAnsi="Cambria" w:cstheme="minorHAnsi"/>
          <w:sz w:val="24"/>
          <w:szCs w:val="24"/>
        </w:rPr>
        <w:t xml:space="preserve"> con el que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podemos establecer el seguimiento y control </w:t>
      </w:r>
      <w:r w:rsidR="00765A3B" w:rsidRPr="00AD501B">
        <w:rPr>
          <w:rFonts w:ascii="Cambria" w:eastAsia="Calibri" w:hAnsi="Cambria" w:cstheme="minorHAnsi"/>
          <w:sz w:val="24"/>
          <w:szCs w:val="24"/>
        </w:rPr>
        <w:t>de este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: líneas, objetivos estratégicos, objetivos operacionales, indicadores de control y correlación de procesos por cada objetivo operacional. Podemos hacer un seguimiento del estado de ejecución del </w:t>
      </w:r>
      <w:r w:rsidR="00765A3B">
        <w:rPr>
          <w:rFonts w:ascii="Cambria" w:eastAsia="Calibri" w:hAnsi="Cambria" w:cstheme="minorHAnsi"/>
          <w:sz w:val="24"/>
          <w:szCs w:val="24"/>
        </w:rPr>
        <w:t>P</w:t>
      </w:r>
      <w:r w:rsidRPr="00AD501B">
        <w:rPr>
          <w:rFonts w:ascii="Cambria" w:eastAsia="Calibri" w:hAnsi="Cambria" w:cstheme="minorHAnsi"/>
          <w:sz w:val="24"/>
          <w:szCs w:val="24"/>
        </w:rPr>
        <w:t>lan completo, de los obj</w:t>
      </w:r>
      <w:r w:rsidR="00765A3B">
        <w:rPr>
          <w:rFonts w:ascii="Cambria" w:eastAsia="Calibri" w:hAnsi="Cambria" w:cstheme="minorHAnsi"/>
          <w:sz w:val="24"/>
          <w:szCs w:val="24"/>
        </w:rPr>
        <w:t>etivos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estratégicos y/u operacionales</w:t>
      </w:r>
      <w:r w:rsidR="00765A3B">
        <w:rPr>
          <w:rFonts w:ascii="Cambria" w:eastAsia="Calibri" w:hAnsi="Cambria" w:cstheme="minorHAnsi"/>
          <w:sz w:val="24"/>
          <w:szCs w:val="24"/>
        </w:rPr>
        <w:t xml:space="preserve">; </w:t>
      </w:r>
      <w:r w:rsidRPr="00AD501B">
        <w:rPr>
          <w:rFonts w:ascii="Cambria" w:eastAsia="Calibri" w:hAnsi="Cambria" w:cstheme="minorHAnsi"/>
          <w:sz w:val="24"/>
          <w:szCs w:val="24"/>
        </w:rPr>
        <w:t>y</w:t>
      </w:r>
      <w:r w:rsidR="00765A3B">
        <w:rPr>
          <w:rFonts w:ascii="Cambria" w:eastAsia="Calibri" w:hAnsi="Cambria" w:cstheme="minorHAnsi"/>
          <w:sz w:val="24"/>
          <w:szCs w:val="24"/>
        </w:rPr>
        <w:t>,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por </w:t>
      </w:r>
      <w:r w:rsidR="00765A3B" w:rsidRPr="00AD501B">
        <w:rPr>
          <w:rFonts w:ascii="Cambria" w:eastAsia="Calibri" w:hAnsi="Cambria" w:cstheme="minorHAnsi"/>
          <w:sz w:val="24"/>
          <w:szCs w:val="24"/>
        </w:rPr>
        <w:t>supuesto</w:t>
      </w:r>
      <w:r w:rsidR="00765A3B">
        <w:rPr>
          <w:rFonts w:ascii="Cambria" w:eastAsia="Calibri" w:hAnsi="Cambria" w:cstheme="minorHAnsi"/>
          <w:sz w:val="24"/>
          <w:szCs w:val="24"/>
        </w:rPr>
        <w:t xml:space="preserve">, de </w:t>
      </w:r>
      <w:r w:rsidR="00765A3B" w:rsidRPr="00AD501B">
        <w:rPr>
          <w:rFonts w:ascii="Cambria" w:eastAsia="Calibri" w:hAnsi="Cambria" w:cstheme="minorHAnsi"/>
          <w:sz w:val="24"/>
          <w:szCs w:val="24"/>
        </w:rPr>
        <w:t>los</w:t>
      </w:r>
      <w:r w:rsidRPr="00AD501B">
        <w:rPr>
          <w:rFonts w:ascii="Cambria" w:eastAsia="Calibri" w:hAnsi="Cambria" w:cstheme="minorHAnsi"/>
          <w:sz w:val="24"/>
          <w:szCs w:val="24"/>
        </w:rPr>
        <w:t xml:space="preserve"> indicadores y logros obtenidos de la estrategia a través de sus indicadores y resultados. </w:t>
      </w:r>
      <w:r w:rsidRPr="00765A3B">
        <w:rPr>
          <w:rFonts w:ascii="Cambria" w:eastAsia="Calibri" w:hAnsi="Cambria" w:cstheme="minorHAnsi"/>
          <w:sz w:val="24"/>
          <w:szCs w:val="24"/>
        </w:rPr>
        <w:t>Cada obj</w:t>
      </w:r>
      <w:r w:rsidR="00765A3B">
        <w:rPr>
          <w:rFonts w:ascii="Cambria" w:eastAsia="Calibri" w:hAnsi="Cambria" w:cstheme="minorHAnsi"/>
          <w:sz w:val="24"/>
          <w:szCs w:val="24"/>
        </w:rPr>
        <w:t>etivo</w:t>
      </w:r>
      <w:r w:rsidRPr="00765A3B">
        <w:rPr>
          <w:rFonts w:ascii="Cambria" w:eastAsia="Calibri" w:hAnsi="Cambria" w:cstheme="minorHAnsi"/>
          <w:sz w:val="24"/>
          <w:szCs w:val="24"/>
        </w:rPr>
        <w:t xml:space="preserve"> operacional está relacionado con su estratégico, el responsable del objetivo, la duración total dentro del plan, el grado de ejecución y el número de bibliotecas que lo ejecutan. </w:t>
      </w:r>
    </w:p>
    <w:p w:rsidR="0011072B" w:rsidRDefault="0011072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noProof/>
          <w:color w:val="7F7F7F"/>
          <w:sz w:val="24"/>
          <w:szCs w:val="24"/>
          <w:lang w:eastAsia="es-ES"/>
        </w:rPr>
        <w:drawing>
          <wp:inline distT="0" distB="0" distL="0" distR="0" wp14:anchorId="408E8604">
            <wp:extent cx="5886450" cy="47128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43" cy="473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65A3B" w:rsidRDefault="00765A3B" w:rsidP="00765A3B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2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Plan Estratégico en ICASUS</w:t>
      </w: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02314" w:rsidRDefault="00102314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F4B340" wp14:editId="048D79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9725" cy="3369945"/>
            <wp:effectExtent l="0" t="0" r="9525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314" w:rsidRDefault="00102314" w:rsidP="00102314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3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Objetivos operacionales 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en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ICASUS</w:t>
      </w: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02314" w:rsidRDefault="00102314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FFEBF71" wp14:editId="08826610">
            <wp:extent cx="5952646" cy="2162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6622" cy="21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02314" w:rsidRDefault="00102314" w:rsidP="00102314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4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Objetivo Operacional: 6.1.2.</w:t>
      </w: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65A3B" w:rsidRDefault="00765A3B" w:rsidP="00995F1B">
      <w:pPr>
        <w:pStyle w:val="Prrafodelista"/>
        <w:tabs>
          <w:tab w:val="left" w:pos="0"/>
          <w:tab w:val="left" w:pos="3432"/>
        </w:tabs>
        <w:spacing w:after="0" w:line="240" w:lineRule="auto"/>
        <w:ind w:hanging="720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102314" w:rsidRDefault="00102314" w:rsidP="00461D8D">
      <w:pPr>
        <w:ind w:left="142"/>
        <w:jc w:val="both"/>
        <w:rPr>
          <w:rFonts w:ascii="Cambria" w:eastAsia="Calibri" w:hAnsi="Cambria" w:cstheme="minorHAnsi"/>
          <w:sz w:val="24"/>
          <w:szCs w:val="24"/>
        </w:rPr>
      </w:pPr>
      <w:r w:rsidRPr="00102314">
        <w:rPr>
          <w:rFonts w:ascii="Cambria" w:eastAsia="Calibri" w:hAnsi="Cambria" w:cstheme="minorHAnsi"/>
          <w:sz w:val="24"/>
          <w:szCs w:val="24"/>
        </w:rPr>
        <w:t xml:space="preserve">Para realizar una valoración total del </w:t>
      </w:r>
      <w:r w:rsidRPr="00102314">
        <w:rPr>
          <w:rFonts w:ascii="Cambria" w:eastAsia="Calibri" w:hAnsi="Cambria" w:cstheme="minorHAnsi"/>
          <w:sz w:val="24"/>
          <w:szCs w:val="24"/>
        </w:rPr>
        <w:t>objetivo además</w:t>
      </w:r>
      <w:r w:rsidRPr="00102314">
        <w:rPr>
          <w:rFonts w:ascii="Cambria" w:eastAsia="Calibri" w:hAnsi="Cambria" w:cstheme="minorHAnsi"/>
          <w:sz w:val="24"/>
          <w:szCs w:val="24"/>
        </w:rPr>
        <w:t xml:space="preserve"> del grado de ejecución </w:t>
      </w:r>
      <w:r w:rsidRPr="00102314">
        <w:rPr>
          <w:rFonts w:ascii="Cambria" w:eastAsia="Calibri" w:hAnsi="Cambria" w:cstheme="minorHAnsi"/>
          <w:sz w:val="24"/>
          <w:szCs w:val="24"/>
        </w:rPr>
        <w:t xml:space="preserve">de </w:t>
      </w:r>
      <w:r>
        <w:rPr>
          <w:rFonts w:ascii="Cambria" w:eastAsia="Calibri" w:hAnsi="Cambria" w:cstheme="minorHAnsi"/>
          <w:sz w:val="24"/>
          <w:szCs w:val="24"/>
        </w:rPr>
        <w:t>é</w:t>
      </w:r>
      <w:r w:rsidRPr="00102314">
        <w:rPr>
          <w:rFonts w:ascii="Cambria" w:eastAsia="Calibri" w:hAnsi="Cambria" w:cstheme="minorHAnsi"/>
          <w:sz w:val="24"/>
          <w:szCs w:val="24"/>
        </w:rPr>
        <w:t>ste</w:t>
      </w:r>
      <w:r w:rsidRPr="00102314">
        <w:rPr>
          <w:rFonts w:ascii="Cambria" w:eastAsia="Calibri" w:hAnsi="Cambria" w:cstheme="minorHAnsi"/>
          <w:sz w:val="24"/>
          <w:szCs w:val="24"/>
        </w:rPr>
        <w:t xml:space="preserve">, se hace un seguimiento con los indicadores de control y de correlación </w:t>
      </w:r>
      <w:r>
        <w:rPr>
          <w:rFonts w:ascii="Cambria" w:eastAsia="Calibri" w:hAnsi="Cambria" w:cstheme="minorHAnsi"/>
          <w:sz w:val="24"/>
          <w:szCs w:val="24"/>
        </w:rPr>
        <w:t>-</w:t>
      </w:r>
      <w:r w:rsidRPr="00102314">
        <w:rPr>
          <w:rFonts w:ascii="Cambria" w:eastAsia="Calibri" w:hAnsi="Cambria" w:cstheme="minorHAnsi"/>
          <w:sz w:val="24"/>
          <w:szCs w:val="24"/>
        </w:rPr>
        <w:t>procesos</w:t>
      </w:r>
      <w:r>
        <w:rPr>
          <w:rFonts w:ascii="Cambria" w:eastAsia="Calibri" w:hAnsi="Cambria" w:cstheme="minorHAnsi"/>
          <w:sz w:val="24"/>
          <w:szCs w:val="24"/>
        </w:rPr>
        <w:t>-</w:t>
      </w:r>
      <w:r w:rsidRPr="00102314">
        <w:rPr>
          <w:rFonts w:ascii="Cambria" w:eastAsia="Calibri" w:hAnsi="Cambria" w:cstheme="minorHAnsi"/>
          <w:sz w:val="24"/>
          <w:szCs w:val="24"/>
        </w:rPr>
        <w:t xml:space="preserve"> asociados. </w:t>
      </w:r>
    </w:p>
    <w:p w:rsidR="00102314" w:rsidRDefault="00461D8D" w:rsidP="00102314">
      <w:pPr>
        <w:jc w:val="both"/>
        <w:rPr>
          <w:rFonts w:ascii="Cambria" w:eastAsia="Calibri" w:hAnsi="Cambria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3A4ECC" wp14:editId="6D179BDA">
            <wp:extent cx="5671185" cy="384937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D8D" w:rsidRDefault="00461D8D" w:rsidP="00461D8D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5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 w:rsidRPr="00461D8D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Indicadores de correlación y control </w:t>
      </w:r>
      <w:proofErr w:type="spellStart"/>
      <w:r w:rsidRPr="00461D8D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obj</w:t>
      </w:r>
      <w:proofErr w:type="spellEnd"/>
      <w:r w:rsidRPr="00461D8D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6.1.2</w:t>
      </w:r>
    </w:p>
    <w:p w:rsidR="00102314" w:rsidRDefault="00102314" w:rsidP="00102314">
      <w:pPr>
        <w:jc w:val="both"/>
        <w:rPr>
          <w:rFonts w:ascii="Cambria" w:eastAsia="Calibri" w:hAnsi="Cambria" w:cstheme="minorHAnsi"/>
          <w:sz w:val="24"/>
          <w:szCs w:val="24"/>
        </w:rPr>
      </w:pPr>
    </w:p>
    <w:p w:rsidR="00461D8D" w:rsidRDefault="00102314" w:rsidP="00461D8D">
      <w:pPr>
        <w:ind w:left="284"/>
        <w:jc w:val="both"/>
        <w:rPr>
          <w:noProof/>
        </w:rPr>
      </w:pPr>
      <w:r w:rsidRPr="00102314">
        <w:rPr>
          <w:rFonts w:ascii="Cambria" w:eastAsia="Calibri" w:hAnsi="Cambria" w:cstheme="minorHAnsi"/>
          <w:sz w:val="24"/>
          <w:szCs w:val="24"/>
        </w:rPr>
        <w:t>A</w:t>
      </w:r>
      <w:r w:rsidRPr="00102314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sí mismo se puede consultar un breve resumen de los resultados obtenidos por año, líneas y objetivos estratégicos. </w:t>
      </w:r>
      <w:r w:rsidRPr="00102314">
        <w:rPr>
          <w:rFonts w:ascii="Cambria" w:eastAsia="Times New Roman" w:hAnsi="Cambria" w:cs="Times New Roman"/>
          <w:bCs/>
          <w:sz w:val="24"/>
          <w:szCs w:val="24"/>
          <w:lang w:eastAsia="es-ES"/>
        </w:rPr>
        <w:t>Incluye</w:t>
      </w:r>
      <w:r w:rsidRPr="00102314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por tanto, los resultados “numéricos” (porcentajes de ejecución y valores en los indicadores) y también en forma textual podemos analizar el avance de cada uno de los hitos alcanzados desde </w:t>
      </w:r>
      <w:r w:rsidR="00116C18" w:rsidRPr="00102314">
        <w:rPr>
          <w:rFonts w:ascii="Cambria" w:eastAsia="Times New Roman" w:hAnsi="Cambria" w:cs="Times New Roman"/>
          <w:bCs/>
          <w:sz w:val="24"/>
          <w:szCs w:val="24"/>
          <w:lang w:eastAsia="es-ES"/>
        </w:rPr>
        <w:t>diferentes</w:t>
      </w:r>
      <w:r w:rsid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perspectivas</w:t>
      </w:r>
      <w:r w:rsidRPr="00102314">
        <w:rPr>
          <w:rFonts w:ascii="Cambria" w:eastAsia="Times New Roman" w:hAnsi="Cambria" w:cs="Times New Roman"/>
          <w:bCs/>
          <w:sz w:val="24"/>
          <w:szCs w:val="24"/>
          <w:lang w:eastAsia="es-ES"/>
        </w:rPr>
        <w:t>.</w:t>
      </w:r>
      <w:r w:rsidRPr="00102314">
        <w:rPr>
          <w:noProof/>
        </w:rPr>
        <w:t xml:space="preserve"> </w:t>
      </w:r>
    </w:p>
    <w:p w:rsidR="00765A3B" w:rsidRDefault="00102314" w:rsidP="00461D8D">
      <w:pPr>
        <w:ind w:left="284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>
        <w:rPr>
          <w:noProof/>
        </w:rPr>
        <w:lastRenderedPageBreak/>
        <w:drawing>
          <wp:inline distT="0" distB="0" distL="0" distR="0" wp14:anchorId="2E978778" wp14:editId="0634D892">
            <wp:extent cx="5671185" cy="51244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314" w:rsidRDefault="00102314" w:rsidP="00461D8D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6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Seguimiento del PE en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ICASUS</w:t>
      </w:r>
    </w:p>
    <w:p w:rsidR="00102314" w:rsidRPr="00102314" w:rsidRDefault="00102314" w:rsidP="00102314">
      <w:pPr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461D8D" w:rsidRPr="00461D8D" w:rsidRDefault="00461D8D" w:rsidP="00461D8D">
      <w:pPr>
        <w:pStyle w:val="Prrafodelista"/>
        <w:numPr>
          <w:ilvl w:val="0"/>
          <w:numId w:val="13"/>
        </w:numPr>
        <w:jc w:val="both"/>
        <w:rPr>
          <w:rFonts w:ascii="Cambria" w:eastAsia="Calibri" w:hAnsi="Cambria" w:cstheme="minorHAnsi"/>
          <w:sz w:val="24"/>
          <w:szCs w:val="24"/>
        </w:rPr>
      </w:pPr>
      <w:hyperlink r:id="rId22" w:history="1">
        <w:r w:rsidRPr="00461D8D">
          <w:rPr>
            <w:rStyle w:val="Hipervnculo"/>
            <w:rFonts w:ascii="Cambria" w:eastAsia="Calibri" w:hAnsi="Cambria" w:cstheme="minorHAnsi"/>
            <w:sz w:val="24"/>
            <w:szCs w:val="24"/>
          </w:rPr>
          <w:t>Cartas de compromisos</w:t>
        </w:r>
      </w:hyperlink>
      <w:r w:rsidRPr="00461D8D">
        <w:rPr>
          <w:rFonts w:ascii="Cambria" w:eastAsia="Calibri" w:hAnsi="Cambria" w:cstheme="minorHAnsi"/>
          <w:sz w:val="24"/>
          <w:szCs w:val="24"/>
        </w:rPr>
        <w:t xml:space="preserve">: Este módulo de gestión de Cartas de compromiso o de servicio fue implantado en 2017. Aquí se muestran y gestionan </w:t>
      </w:r>
      <w:r>
        <w:rPr>
          <w:rFonts w:ascii="Cambria" w:eastAsia="Calibri" w:hAnsi="Cambria" w:cstheme="minorHAnsi"/>
          <w:sz w:val="24"/>
          <w:szCs w:val="24"/>
        </w:rPr>
        <w:t xml:space="preserve">las dos 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Cartas de servicios vigentes de la BUS </w:t>
      </w:r>
      <w:r>
        <w:rPr>
          <w:rFonts w:ascii="Cambria" w:eastAsia="Calibri" w:hAnsi="Cambria" w:cstheme="minorHAnsi"/>
          <w:sz w:val="24"/>
          <w:szCs w:val="24"/>
        </w:rPr>
        <w:t>-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Carta de Servicios de la BUS 2015 y Carta de </w:t>
      </w:r>
      <w:r>
        <w:rPr>
          <w:rFonts w:ascii="Cambria" w:eastAsia="Calibri" w:hAnsi="Cambria" w:cstheme="minorHAnsi"/>
          <w:sz w:val="24"/>
          <w:szCs w:val="24"/>
        </w:rPr>
        <w:t>S</w:t>
      </w:r>
      <w:r w:rsidRPr="00461D8D">
        <w:rPr>
          <w:rFonts w:ascii="Cambria" w:eastAsia="Calibri" w:hAnsi="Cambria" w:cstheme="minorHAnsi"/>
          <w:sz w:val="24"/>
          <w:szCs w:val="24"/>
        </w:rPr>
        <w:t>ervicios para investigadores</w:t>
      </w:r>
      <w:r>
        <w:rPr>
          <w:rFonts w:ascii="Cambria" w:eastAsia="Calibri" w:hAnsi="Cambria" w:cstheme="minorHAnsi"/>
          <w:sz w:val="24"/>
          <w:szCs w:val="24"/>
        </w:rPr>
        <w:t xml:space="preserve"> </w:t>
      </w:r>
      <w:r w:rsidRPr="00461D8D">
        <w:rPr>
          <w:rFonts w:ascii="Cambria" w:eastAsia="Calibri" w:hAnsi="Cambria" w:cstheme="minorHAnsi"/>
          <w:sz w:val="24"/>
          <w:szCs w:val="24"/>
        </w:rPr>
        <w:t>2018</w:t>
      </w:r>
      <w:r>
        <w:rPr>
          <w:rFonts w:ascii="Cambria" w:eastAsia="Calibri" w:hAnsi="Cambria" w:cstheme="minorHAnsi"/>
          <w:sz w:val="24"/>
          <w:szCs w:val="24"/>
        </w:rPr>
        <w:t>-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. Cada una de ellas muestra toda la información propia de la carta, aquella información que afecta de algún modo y es interesante recoger </w:t>
      </w:r>
      <w:r>
        <w:rPr>
          <w:rFonts w:ascii="Cambria" w:eastAsia="Calibri" w:hAnsi="Cambria" w:cstheme="minorHAnsi"/>
          <w:sz w:val="24"/>
          <w:szCs w:val="24"/>
        </w:rPr>
        <w:t>-</w:t>
      </w:r>
      <w:r w:rsidRPr="00461D8D">
        <w:rPr>
          <w:rFonts w:ascii="Cambria" w:eastAsia="Calibri" w:hAnsi="Cambria" w:cstheme="minorHAnsi"/>
          <w:sz w:val="24"/>
          <w:szCs w:val="24"/>
        </w:rPr>
        <w:t>normativa, carta de derechos y deberes de usuarios, cuadro de mando de resultados, etc.</w:t>
      </w:r>
      <w:r>
        <w:rPr>
          <w:rFonts w:ascii="Cambria" w:eastAsia="Calibri" w:hAnsi="Cambria" w:cstheme="minorHAnsi"/>
          <w:sz w:val="24"/>
          <w:szCs w:val="24"/>
        </w:rPr>
        <w:t xml:space="preserve">- </w:t>
      </w:r>
      <w:proofErr w:type="gramStart"/>
      <w:r w:rsidRPr="00461D8D">
        <w:rPr>
          <w:rFonts w:ascii="Cambria" w:eastAsia="Calibri" w:hAnsi="Cambria" w:cstheme="minorHAnsi"/>
          <w:sz w:val="24"/>
          <w:szCs w:val="24"/>
        </w:rPr>
        <w:t>y</w:t>
      </w:r>
      <w:r>
        <w:rPr>
          <w:rFonts w:ascii="Cambria" w:eastAsia="Calibri" w:hAnsi="Cambria" w:cstheme="minorHAnsi"/>
          <w:sz w:val="24"/>
          <w:szCs w:val="24"/>
        </w:rPr>
        <w:t xml:space="preserve">, 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 por</w:t>
      </w:r>
      <w:proofErr w:type="gramEnd"/>
      <w:r w:rsidRPr="00461D8D">
        <w:rPr>
          <w:rFonts w:ascii="Cambria" w:eastAsia="Calibri" w:hAnsi="Cambria" w:cstheme="minorHAnsi"/>
          <w:sz w:val="24"/>
          <w:szCs w:val="24"/>
        </w:rPr>
        <w:t xml:space="preserve"> supuesto</w:t>
      </w:r>
      <w:r>
        <w:rPr>
          <w:rFonts w:ascii="Cambria" w:eastAsia="Calibri" w:hAnsi="Cambria" w:cstheme="minorHAnsi"/>
          <w:sz w:val="24"/>
          <w:szCs w:val="24"/>
        </w:rPr>
        <w:t xml:space="preserve">, 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 los resultados obtenidos en</w:t>
      </w:r>
      <w:r>
        <w:rPr>
          <w:rFonts w:ascii="Cambria" w:eastAsia="Calibri" w:hAnsi="Cambria" w:cstheme="minorHAnsi"/>
          <w:sz w:val="24"/>
          <w:szCs w:val="24"/>
        </w:rPr>
        <w:t xml:space="preserve"> </w:t>
      </w:r>
      <w:r w:rsidRPr="00461D8D">
        <w:rPr>
          <w:rFonts w:ascii="Cambria" w:eastAsia="Calibri" w:hAnsi="Cambria" w:cstheme="minorHAnsi"/>
          <w:sz w:val="24"/>
          <w:szCs w:val="24"/>
        </w:rPr>
        <w:t xml:space="preserve"> cada uno de los indicadores que miden el compromiso adquirido para cada uno de los servicios plasmados. Cada servicio se encuentra relacionado con el compromiso concreto y con el indicador de medición de ese compromiso visualizando la periodicidad y responsables de los</w:t>
      </w:r>
      <w:r>
        <w:rPr>
          <w:rFonts w:ascii="Cambria" w:eastAsia="Calibri" w:hAnsi="Cambria" w:cstheme="minorHAnsi"/>
          <w:sz w:val="24"/>
          <w:szCs w:val="24"/>
        </w:rPr>
        <w:t xml:space="preserve"> mismos.</w:t>
      </w:r>
    </w:p>
    <w:p w:rsidR="00765A3B" w:rsidRDefault="00461D8D" w:rsidP="00943CE4">
      <w:pPr>
        <w:spacing w:before="100" w:beforeAutospacing="1" w:after="160" w:afterAutospacing="1" w:line="259" w:lineRule="auto"/>
        <w:contextualSpacing/>
        <w:jc w:val="both"/>
        <w:rPr>
          <w:rFonts w:eastAsiaTheme="minorEastAsia"/>
          <w:bCs/>
          <w:color w:val="000000" w:themeColor="text1"/>
          <w:sz w:val="18"/>
          <w:szCs w:val="18"/>
          <w:lang w:eastAsia="es-ES"/>
        </w:rPr>
      </w:pPr>
      <w:r>
        <w:rPr>
          <w:noProof/>
        </w:rPr>
        <w:lastRenderedPageBreak/>
        <w:drawing>
          <wp:inline distT="0" distB="0" distL="0" distR="0" wp14:anchorId="5F91AEE2" wp14:editId="778C6DE9">
            <wp:extent cx="5671185" cy="3502660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D8D" w:rsidRDefault="00461D8D" w:rsidP="00461D8D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7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Carta de Servicios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en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ICASUS</w:t>
      </w:r>
    </w:p>
    <w:p w:rsidR="00461D8D" w:rsidRDefault="00116C18" w:rsidP="00116C18">
      <w:pPr>
        <w:spacing w:before="100" w:beforeAutospacing="1" w:after="160" w:afterAutospacing="1" w:line="259" w:lineRule="auto"/>
        <w:jc w:val="both"/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CB9C2B" wp14:editId="2D330ACB">
            <wp:simplePos x="0" y="0"/>
            <wp:positionH relativeFrom="column">
              <wp:posOffset>0</wp:posOffset>
            </wp:positionH>
            <wp:positionV relativeFrom="paragraph">
              <wp:posOffset>934085</wp:posOffset>
            </wp:positionV>
            <wp:extent cx="5671185" cy="316420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6C18"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  <w:t>Existe un apartado de seguimiento donde consultar el estado de cada indicador para cada compromiso y servicio de forma muy visual al estar en un formato en cascada facilitando la consulta y análisis de resultados</w:t>
      </w:r>
      <w:r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  <w:t>.</w:t>
      </w:r>
    </w:p>
    <w:p w:rsidR="00116C18" w:rsidRDefault="00116C18" w:rsidP="00116C18">
      <w:pPr>
        <w:pStyle w:val="Prrafodelista"/>
        <w:tabs>
          <w:tab w:val="left" w:pos="709"/>
          <w:tab w:val="left" w:pos="3432"/>
        </w:tabs>
        <w:spacing w:after="0" w:line="240" w:lineRule="auto"/>
        <w:ind w:left="360"/>
        <w:jc w:val="center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Fig.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8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.</w:t>
      </w:r>
      <w:r w:rsidRPr="00460ABF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Seguimiento de la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Carta de Servicios</w:t>
      </w:r>
      <w:r w:rsidRPr="00102314"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 xml:space="preserve"> en </w:t>
      </w:r>
      <w:r>
        <w:rPr>
          <w:rFonts w:ascii="Cambria" w:eastAsia="Times New Roman" w:hAnsi="Cambria" w:cs="Times New Roman"/>
          <w:bCs/>
          <w:i/>
          <w:sz w:val="18"/>
          <w:szCs w:val="18"/>
          <w:lang w:eastAsia="es-ES"/>
        </w:rPr>
        <w:t>ICASUS</w:t>
      </w:r>
    </w:p>
    <w:p w:rsidR="00116C18" w:rsidRPr="00116C18" w:rsidRDefault="00116C18" w:rsidP="00116C18">
      <w:pPr>
        <w:spacing w:before="100" w:beforeAutospacing="1" w:after="160" w:afterAutospacing="1" w:line="259" w:lineRule="auto"/>
        <w:jc w:val="both"/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</w:pPr>
    </w:p>
    <w:p w:rsidR="00461D8D" w:rsidRPr="00EA6A86" w:rsidRDefault="00461D8D" w:rsidP="00943CE4">
      <w:pPr>
        <w:spacing w:before="100" w:beforeAutospacing="1" w:after="160" w:afterAutospacing="1" w:line="259" w:lineRule="auto"/>
        <w:contextualSpacing/>
        <w:jc w:val="both"/>
        <w:rPr>
          <w:rFonts w:eastAsiaTheme="minorEastAsia"/>
          <w:bCs/>
          <w:color w:val="000000" w:themeColor="text1"/>
          <w:sz w:val="18"/>
          <w:szCs w:val="18"/>
          <w:lang w:eastAsia="es-ES"/>
        </w:rPr>
      </w:pPr>
    </w:p>
    <w:p w:rsidR="00EA6A86" w:rsidRDefault="0011072B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116C18" w:rsidRDefault="00116C18" w:rsidP="00116C18">
      <w:p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116C18" w:rsidRDefault="00116C18" w:rsidP="00116C18">
      <w:pPr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En su apuesta por la innovación, la comunicación, la transparencia y la cultura en la excelencia, la BUS ha invertido mucho tiempo y esfuerzo en desarrollar una aplicación coherente con el sistema de gestión de calidad, fácil de manejar y que ayude en el análisis y explotación de resultados para obtener un rendimiento pleno en la toma de decisiones. </w:t>
      </w:r>
    </w:p>
    <w:p w:rsidR="00116C18" w:rsidRPr="00116C18" w:rsidRDefault="00116C18" w:rsidP="00116C18">
      <w:pPr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116C18" w:rsidRDefault="00116C18" w:rsidP="00116C18">
      <w:pPr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Todo este esfuerzo se ve reflejado en el uso de la aplicación por parte de otros servicios y unidades de la US, de las 281 unidades creadas en </w:t>
      </w:r>
      <w:r w:rsidRPr="00116C18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ICASUS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211 ya están dando los primeros pasos, es decir, el 75% de las mismas están comenzando a introducir sus procesos, indicadores, cuadros de mando, etc.  Durante los últimos años el 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>Á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>rea de RRHH de la US ha impulsado su uso, el FORPAS ha organizado 5 ediciones al año del taller dedicado al manejo de la herramienta, ofertando 25 plazas por edición y logrando el 100% de asistencia en todos los talleres.</w:t>
      </w:r>
    </w:p>
    <w:p w:rsidR="00116C18" w:rsidRDefault="00116C18" w:rsidP="00116C18">
      <w:pPr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</w:p>
    <w:p w:rsidR="00116C18" w:rsidRPr="00116C18" w:rsidRDefault="00116C18" w:rsidP="00116C18">
      <w:pPr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>Orgullosos del resultado logrado por todo el trabajo de desarrollo y apostando por la trasferencia de conocimiento y experiencias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</w:t>
      </w:r>
      <w:r w:rsidRPr="00116C18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ICASUS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>se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presentó en las </w:t>
      </w:r>
      <w:r w:rsidRPr="00116C18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 Jornada de Buenas Prácticas de las Bibliotecas Líderes EFQM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organizada por la BUS, 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donde 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acudieron representantes de diferentes Bibliotecas universitarias españolas con sello EFQM +400 o +500 y se intercambiaron experiencias muy interesantes sobre temas de gestión. A raíz de este encuentro varios centros han solicitado el desarrollo de </w:t>
      </w:r>
      <w:r w:rsidRPr="00116C18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ICASUS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para implantarlo en sus bibliotecas: La Laguna, Granada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y la 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>UNED. Está aplicación, al igual que otros desarrollos propios de la Biblioteca, están disponibles en el portal de la Biblioteca</w:t>
      </w:r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, dentro del apartado </w:t>
      </w:r>
      <w:hyperlink r:id="rId25" w:history="1">
        <w:r w:rsidRPr="00116C18">
          <w:rPr>
            <w:rStyle w:val="Hipervnculo"/>
            <w:rFonts w:ascii="Cambria" w:eastAsia="Times New Roman" w:hAnsi="Cambria" w:cs="Times New Roman"/>
            <w:bCs/>
            <w:sz w:val="24"/>
            <w:szCs w:val="24"/>
            <w:lang w:eastAsia="es-ES"/>
          </w:rPr>
          <w:t>Conócenos&gt;</w:t>
        </w:r>
        <w:r w:rsidRPr="00116C18">
          <w:rPr>
            <w:rStyle w:val="Hipervnculo"/>
            <w:rFonts w:ascii="Cambria" w:eastAsia="Times New Roman" w:hAnsi="Cambria" w:cs="Times New Roman"/>
            <w:bCs/>
            <w:sz w:val="24"/>
            <w:szCs w:val="24"/>
            <w:lang w:eastAsia="es-ES"/>
          </w:rPr>
          <w:t>Publicaciones y actividades de la Biblioteca</w:t>
        </w:r>
        <w:r w:rsidRPr="00116C18">
          <w:rPr>
            <w:rStyle w:val="Hipervnculo"/>
            <w:rFonts w:ascii="Cambria" w:eastAsia="Times New Roman" w:hAnsi="Cambria" w:cs="Times New Roman"/>
            <w:bCs/>
            <w:sz w:val="24"/>
            <w:szCs w:val="24"/>
            <w:lang w:eastAsia="es-ES"/>
          </w:rPr>
          <w:t>&gt;</w:t>
        </w:r>
        <w:r w:rsidRPr="00116C18">
          <w:rPr>
            <w:rStyle w:val="Hipervnculo"/>
            <w:rFonts w:ascii="Cambria" w:eastAsia="Times New Roman" w:hAnsi="Cambria" w:cs="Times New Roman"/>
            <w:bCs/>
            <w:sz w:val="24"/>
            <w:szCs w:val="24"/>
            <w:lang w:eastAsia="es-ES"/>
          </w:rPr>
          <w:t xml:space="preserve"> Desarrollos Propios</w:t>
        </w:r>
      </w:hyperlink>
      <w:r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</w:t>
      </w:r>
      <w:r w:rsidRPr="00116C18">
        <w:rPr>
          <w:rFonts w:ascii="Cambria" w:eastAsia="Times New Roman" w:hAnsi="Cambria" w:cs="Times New Roman"/>
          <w:bCs/>
          <w:sz w:val="24"/>
          <w:szCs w:val="24"/>
          <w:lang w:eastAsia="es-ES"/>
        </w:rPr>
        <w:t xml:space="preserve"> y también en el Repositorio de software libre </w:t>
      </w:r>
      <w:r w:rsidRPr="00116C18"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GitHub</w:t>
      </w:r>
      <w:r>
        <w:rPr>
          <w:rFonts w:ascii="Cambria" w:eastAsia="Times New Roman" w:hAnsi="Cambria" w:cs="Times New Roman"/>
          <w:bCs/>
          <w:i/>
          <w:sz w:val="24"/>
          <w:szCs w:val="24"/>
          <w:lang w:eastAsia="es-ES"/>
        </w:rPr>
        <w:t>.</w:t>
      </w:r>
    </w:p>
    <w:p w:rsidR="00116C18" w:rsidRDefault="00116C18" w:rsidP="00872698">
      <w:pPr>
        <w:spacing w:after="0" w:line="240" w:lineRule="auto"/>
        <w:ind w:left="708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EA6A86" w:rsidRDefault="00EA6A86" w:rsidP="00872698">
      <w:pPr>
        <w:spacing w:after="0" w:line="240" w:lineRule="auto"/>
        <w:ind w:left="708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En </w:t>
      </w:r>
      <w:r w:rsidRPr="0011072B">
        <w:rPr>
          <w:rFonts w:ascii="Cambria" w:eastAsia="Times New Roman" w:hAnsi="Cambria" w:cs="Times New Roman"/>
          <w:b/>
          <w:color w:val="000000"/>
          <w:sz w:val="24"/>
          <w:szCs w:val="24"/>
          <w:lang w:eastAsia="es-ES"/>
        </w:rPr>
        <w:t>resumen</w:t>
      </w: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:</w:t>
      </w:r>
    </w:p>
    <w:p w:rsidR="00116C18" w:rsidRDefault="00116C18" w:rsidP="00872698">
      <w:pPr>
        <w:spacing w:after="0" w:line="240" w:lineRule="auto"/>
        <w:ind w:left="708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Es el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resultado del trabajo colaborativo entre dos unidades de la US (RRHH y BUS)</w:t>
      </w:r>
      <w:r w:rsidR="0031047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Es el fruto de la apuesta por la innovación y el desarrollo de tecnología, desarrollando mejoras para ser más eficaces en la gestión de la BUS.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Es referente en cuanto a herramientas desarrolladas para una gestión integrada de la estrategia y la calidad, ya que ha sido compartida con otras bibliotecas y organismos interesados.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Es el reflejo y referencia de la Cultura de excelencia y el liderazgo de la BUS, se impulsa desde cada propietario de procesos, responsables de seguimiento y medición de indicadores y datos</w:t>
      </w:r>
      <w:r w:rsidR="0031047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; a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sí como los responsables de cada uno de los objetivos operacionales del PE de la BUS y los responsables de indicadores de compromiso de las Cartas de Servicios.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Es </w:t>
      </w:r>
      <w:r w:rsidR="0031047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una 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“herramienta de comunicación interna”: todo el personal de la US puede acceder y consultar la información contenida, es un portal transparente de toda la actividad de la institución.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Es el </w:t>
      </w:r>
      <w:r w:rsidRPr="00310477">
        <w:rPr>
          <w:rFonts w:ascii="Cambria" w:eastAsia="Times New Roman" w:hAnsi="Cambria" w:cs="Times New Roman"/>
          <w:i/>
          <w:color w:val="000000"/>
          <w:sz w:val="24"/>
          <w:szCs w:val="24"/>
          <w:lang w:eastAsia="es-ES"/>
        </w:rPr>
        <w:t>Manual de Procesos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de cada una de las Unidades de la US.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lastRenderedPageBreak/>
        <w:t>Es la herramienta que sirve para comunicar y orientar la estrategia (plasma el desarrollo de los PE y su ejecución) orientado al cumplimiento de la Misión de la BUS.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Es el reflejo de los compromisos de la BUS con sus clientes, establece una cartera de servicios orientados siempre a la satisfacción del usuario.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A través de las mediciones y valores de referencia (metas y límites definidos por los propietarios de procesos) muestra los resultados, prioridades y expectativas, se evalúan sistemáticamente, se identifican y deciden los posibles cambios en procesos, servicios, etc. que mejoren las necesidades de los G.I</w:t>
      </w:r>
    </w:p>
    <w:p w:rsidR="00116C18" w:rsidRPr="00116C18" w:rsidRDefault="00116C18" w:rsidP="00116C18">
      <w:pPr>
        <w:pStyle w:val="Prrafodelista"/>
        <w:numPr>
          <w:ilvl w:val="1"/>
          <w:numId w:val="14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Los </w:t>
      </w:r>
      <w:r w:rsidR="0031047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CMI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(BUS y Bibliotecas de Área), </w:t>
      </w:r>
      <w:r w:rsidR="0031047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los CM </w:t>
      </w:r>
      <w:r w:rsidRPr="00116C1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de procesos, Cartas de Servicios, en cifras, etc., ayuda al análisis de tendencias y rendimiento operativo de la BUS al contener los resultados clave necesarios para ello.</w:t>
      </w:r>
    </w:p>
    <w:p w:rsidR="00EA6A86" w:rsidRPr="0011072B" w:rsidRDefault="00EA6A86" w:rsidP="00EA6A86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EA6A86" w:rsidRDefault="00EA6A86" w:rsidP="00EA6A86">
      <w:pPr>
        <w:spacing w:after="0" w:line="259" w:lineRule="auto"/>
        <w:jc w:val="both"/>
        <w:rPr>
          <w:rFonts w:eastAsia="Calibri" w:cstheme="minorHAnsi"/>
          <w:b/>
          <w:color w:val="632423" w:themeColor="accent2" w:themeShade="80"/>
          <w:lang w:eastAsia="es-ES"/>
        </w:rPr>
      </w:pPr>
    </w:p>
    <w:p w:rsidR="00DE1B3D" w:rsidRPr="0011072B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</w:t>
      </w:r>
      <w:r w:rsidR="00DE1B3D"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ustificación de la buena práctica</w:t>
      </w:r>
    </w:p>
    <w:p w:rsidR="00DE1B3D" w:rsidRDefault="00DE1B3D" w:rsidP="00EA6A86">
      <w:pPr>
        <w:spacing w:after="0" w:line="259" w:lineRule="auto"/>
        <w:jc w:val="both"/>
        <w:rPr>
          <w:rFonts w:eastAsia="Calibri" w:cstheme="minorHAnsi"/>
          <w:b/>
          <w:color w:val="000000" w:themeColor="text1"/>
          <w:lang w:eastAsia="es-ES"/>
        </w:rPr>
      </w:pPr>
    </w:p>
    <w:p w:rsidR="00EA6A86" w:rsidRPr="0011072B" w:rsidRDefault="00DE1B3D" w:rsidP="00872698">
      <w:pPr>
        <w:spacing w:after="0" w:line="259" w:lineRule="auto"/>
        <w:ind w:left="708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Se considera buena práctica porque:</w:t>
      </w:r>
    </w:p>
    <w:p w:rsidR="00E54BBC" w:rsidRPr="0011072B" w:rsidRDefault="00E54BBC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310477" w:rsidRP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Refleja la cultura de excelencia y el liderazgo compartido de la BUS</w:t>
      </w:r>
      <w:r>
        <w:rPr>
          <w:rFonts w:ascii="Cambria" w:eastAsia="Calibri" w:hAnsi="Cambria" w:cstheme="minorHAnsi"/>
          <w:sz w:val="24"/>
          <w:szCs w:val="24"/>
          <w:lang w:eastAsia="es-ES"/>
        </w:rPr>
        <w:t>.</w:t>
      </w:r>
    </w:p>
    <w:p w:rsidR="00310477" w:rsidRP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Es resultado de un proyecto innovador sobre una aplicación web en software libre, analizando e identificando todas las mejoras llevadas a cabo.</w:t>
      </w:r>
    </w:p>
    <w:p w:rsidR="00310477" w:rsidRP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Es fruto de una alianza interna establecida desde 2011 entre RRHH y la BUS.</w:t>
      </w:r>
    </w:p>
    <w:p w:rsidR="00310477" w:rsidRP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Es la herramienta principal de la US para la gestión de calidad</w:t>
      </w:r>
      <w:r>
        <w:rPr>
          <w:rFonts w:ascii="Cambria" w:eastAsia="Calibri" w:hAnsi="Cambria" w:cstheme="minorHAnsi"/>
          <w:sz w:val="24"/>
          <w:szCs w:val="24"/>
          <w:lang w:eastAsia="es-ES"/>
        </w:rPr>
        <w:t>: p</w:t>
      </w: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lasma y desarrolla la estrategia para la consecución de la Misión de cada una de las unidades.</w:t>
      </w:r>
    </w:p>
    <w:p w:rsidR="00310477" w:rsidRP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Resultados, análisis, prioridades y expectativas son evidencia de la actividad de la US de forma transparente a todo el personal</w:t>
      </w:r>
      <w:r>
        <w:rPr>
          <w:rFonts w:ascii="Cambria" w:eastAsia="Calibri" w:hAnsi="Cambria" w:cstheme="minorHAnsi"/>
          <w:sz w:val="24"/>
          <w:szCs w:val="24"/>
          <w:lang w:eastAsia="es-ES"/>
        </w:rPr>
        <w:t>.</w:t>
      </w:r>
    </w:p>
    <w:p w:rsidR="00310477" w:rsidRDefault="00310477" w:rsidP="00310477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310477">
        <w:rPr>
          <w:rFonts w:ascii="Cambria" w:eastAsia="Calibri" w:hAnsi="Cambria" w:cstheme="minorHAnsi"/>
          <w:sz w:val="24"/>
          <w:szCs w:val="24"/>
          <w:lang w:eastAsia="es-ES"/>
        </w:rPr>
        <w:t>Es referente para otras unidades de la US y para otras instituciones que lleven a cabo la Gestión por Procesos y apuesten por la calidad y la excelencia.</w:t>
      </w:r>
    </w:p>
    <w:p w:rsidR="00310477" w:rsidRPr="00310477" w:rsidRDefault="00310477" w:rsidP="00310477">
      <w:pPr>
        <w:pStyle w:val="Prrafodelista"/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</w:p>
    <w:p w:rsidR="00872698" w:rsidRPr="00310477" w:rsidRDefault="00872698" w:rsidP="00872698">
      <w:pPr>
        <w:pStyle w:val="Prrafodelista"/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</w:p>
    <w:p w:rsidR="0011072B" w:rsidRPr="0075630A" w:rsidRDefault="0011072B" w:rsidP="0075630A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eastAsia="Calibri" w:cstheme="minorHAnsi"/>
          <w:lang w:eastAsia="es-ES"/>
        </w:rPr>
      </w:pPr>
      <w:r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Evidencias en la Memoria</w:t>
      </w:r>
      <w:r w:rsidR="00E54BBC"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 EFQM </w:t>
      </w:r>
      <w:r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BUS </w:t>
      </w:r>
      <w:r w:rsidR="00872698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2018</w:t>
      </w:r>
    </w:p>
    <w:p w:rsidR="0075630A" w:rsidRDefault="0075630A" w:rsidP="0075630A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eastAsia="Calibri" w:cstheme="minorHAnsi"/>
          <w:lang w:eastAsia="es-ES"/>
        </w:rPr>
      </w:pPr>
    </w:p>
    <w:p w:rsidR="00872698" w:rsidRPr="00310477" w:rsidRDefault="00872698" w:rsidP="00872698">
      <w:pPr>
        <w:pStyle w:val="Prrafodelista"/>
        <w:tabs>
          <w:tab w:val="left" w:pos="709"/>
          <w:tab w:val="left" w:pos="1418"/>
        </w:tabs>
        <w:spacing w:after="0" w:line="240" w:lineRule="auto"/>
        <w:rPr>
          <w:rFonts w:ascii="Cambria" w:eastAsia="Calibri" w:hAnsi="Cambria" w:cstheme="minorHAnsi"/>
          <w:sz w:val="24"/>
          <w:szCs w:val="24"/>
          <w:lang w:eastAsia="es-ES"/>
        </w:rPr>
      </w:pPr>
      <w:r>
        <w:rPr>
          <w:rFonts w:eastAsia="Calibri" w:cstheme="minorHAnsi"/>
          <w:lang w:eastAsia="es-ES"/>
        </w:rPr>
        <w:tab/>
      </w:r>
      <w:r w:rsidR="00310477" w:rsidRPr="00310477">
        <w:rPr>
          <w:rFonts w:ascii="Cambria" w:eastAsia="Calibri" w:hAnsi="Cambria" w:cstheme="minorHAnsi"/>
          <w:sz w:val="24"/>
          <w:szCs w:val="24"/>
          <w:lang w:eastAsia="es-ES"/>
        </w:rPr>
        <w:t>1a.3, 1b.1, 1d.1, 2b.1, 2c.3, 2d.1, 3a.1, 3b.2, 3d.2, 4a.2, 4b.2, 4d.3, 4d.4, 4d.5, 4e.1, 5a.4, 5b.2, 5d.2</w:t>
      </w:r>
      <w:r w:rsidR="00310477" w:rsidRPr="00310477">
        <w:rPr>
          <w:rFonts w:ascii="Cambria" w:eastAsia="Calibri" w:hAnsi="Cambria" w:cstheme="minorHAnsi"/>
          <w:sz w:val="24"/>
          <w:szCs w:val="24"/>
          <w:lang w:eastAsia="es-ES"/>
        </w:rPr>
        <w:t>.</w:t>
      </w:r>
      <w:bookmarkStart w:id="2" w:name="_GoBack"/>
      <w:bookmarkEnd w:id="2"/>
    </w:p>
    <w:sectPr w:rsidR="00872698" w:rsidRPr="00310477" w:rsidSect="00DE1B3D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701" w:right="127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8D6" w:rsidRDefault="009778D6" w:rsidP="00B84C0D">
      <w:pPr>
        <w:spacing w:after="0" w:line="240" w:lineRule="auto"/>
      </w:pPr>
      <w:r>
        <w:separator/>
      </w:r>
    </w:p>
  </w:endnote>
  <w:endnote w:type="continuationSeparator" w:id="0">
    <w:p w:rsidR="009778D6" w:rsidRDefault="009778D6" w:rsidP="00B8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60038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DE1B3D" w:rsidRPr="00DE1B3D" w:rsidRDefault="00DE1B3D">
        <w:pPr>
          <w:pStyle w:val="Piedepgina"/>
          <w:jc w:val="right"/>
          <w:rPr>
            <w:sz w:val="16"/>
            <w:szCs w:val="16"/>
          </w:rPr>
        </w:pPr>
        <w:r w:rsidRPr="00DE1B3D">
          <w:rPr>
            <w:sz w:val="16"/>
            <w:szCs w:val="16"/>
          </w:rPr>
          <w:fldChar w:fldCharType="begin"/>
        </w:r>
        <w:r w:rsidRPr="00DE1B3D">
          <w:rPr>
            <w:sz w:val="16"/>
            <w:szCs w:val="16"/>
          </w:rPr>
          <w:instrText>PAGE   \* MERGEFORMAT</w:instrText>
        </w:r>
        <w:r w:rsidRPr="00DE1B3D">
          <w:rPr>
            <w:sz w:val="16"/>
            <w:szCs w:val="16"/>
          </w:rPr>
          <w:fldChar w:fldCharType="separate"/>
        </w:r>
        <w:r w:rsidR="00ED7787">
          <w:rPr>
            <w:noProof/>
            <w:sz w:val="16"/>
            <w:szCs w:val="16"/>
          </w:rPr>
          <w:t>1</w:t>
        </w:r>
        <w:r w:rsidRPr="00DE1B3D">
          <w:rPr>
            <w:sz w:val="16"/>
            <w:szCs w:val="16"/>
          </w:rPr>
          <w:fldChar w:fldCharType="end"/>
        </w:r>
      </w:p>
    </w:sdtContent>
  </w:sdt>
  <w:p w:rsidR="00B84C0D" w:rsidRPr="0017177C" w:rsidRDefault="00DE1B3D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>Buena</w:t>
    </w:r>
    <w:r w:rsidR="0011072B">
      <w:rPr>
        <w:i/>
        <w:sz w:val="16"/>
        <w:szCs w:val="16"/>
      </w:rPr>
      <w:t>s P</w:t>
    </w:r>
    <w:r>
      <w:rPr>
        <w:i/>
        <w:sz w:val="16"/>
        <w:szCs w:val="16"/>
      </w:rPr>
      <w:t>ráctica</w:t>
    </w:r>
    <w:r w:rsidR="0011072B">
      <w:rPr>
        <w:i/>
        <w:sz w:val="16"/>
        <w:szCs w:val="16"/>
      </w:rPr>
      <w:t>s de la BUS</w:t>
    </w:r>
    <w:r w:rsidR="00647073">
      <w:rPr>
        <w:i/>
        <w:sz w:val="16"/>
        <w:szCs w:val="16"/>
      </w:rPr>
      <w:t xml:space="preserve"> </w:t>
    </w:r>
    <w:r w:rsidR="00647073" w:rsidRPr="00647073">
      <w:rPr>
        <w:i/>
        <w:sz w:val="16"/>
        <w:szCs w:val="16"/>
      </w:rPr>
      <w:t>2018</w:t>
    </w:r>
    <w:r w:rsidR="0011072B" w:rsidRPr="00647073">
      <w:rPr>
        <w:i/>
        <w:sz w:val="16"/>
        <w:szCs w:val="16"/>
      </w:rPr>
      <w:t xml:space="preserve">: </w:t>
    </w:r>
    <w:r w:rsidR="00943CE4" w:rsidRPr="00943CE4">
      <w:rPr>
        <w:i/>
        <w:sz w:val="16"/>
        <w:szCs w:val="16"/>
      </w:rPr>
      <w:t>Gestión integrada de la estrategia: Plan Estratégico y Carta de Servicios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814" w:rsidRPr="00124814" w:rsidRDefault="00124814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 xml:space="preserve">Buena Práctica de la BUS. </w:t>
    </w:r>
    <w:r w:rsidR="00EA6A86">
      <w:rPr>
        <w:i/>
        <w:sz w:val="16"/>
        <w:szCs w:val="16"/>
      </w:rPr>
      <w:t>ICASUS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8D6" w:rsidRDefault="009778D6" w:rsidP="00B84C0D">
      <w:pPr>
        <w:spacing w:after="0" w:line="240" w:lineRule="auto"/>
      </w:pPr>
      <w:r>
        <w:separator/>
      </w:r>
    </w:p>
  </w:footnote>
  <w:footnote w:type="continuationSeparator" w:id="0">
    <w:p w:rsidR="009778D6" w:rsidRDefault="009778D6" w:rsidP="00B8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 w:rsidRPr="00B84C0D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19050" t="0" r="0" b="0"/>
          <wp:wrapSquare wrapText="bothSides"/>
          <wp:docPr id="14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-631825</wp:posOffset>
          </wp:positionH>
          <wp:positionV relativeFrom="paragraph">
            <wp:posOffset>635</wp:posOffset>
          </wp:positionV>
          <wp:extent cx="1144270" cy="381000"/>
          <wp:effectExtent l="19050" t="0" r="0" b="0"/>
          <wp:wrapSquare wrapText="bothSides"/>
          <wp:docPr id="15" name="3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7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20B8"/>
    <w:multiLevelType w:val="hybridMultilevel"/>
    <w:tmpl w:val="4306B3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F7E91"/>
    <w:multiLevelType w:val="hybridMultilevel"/>
    <w:tmpl w:val="C98C9D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B5D53"/>
    <w:multiLevelType w:val="hybridMultilevel"/>
    <w:tmpl w:val="6AD86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217BC">
      <w:numFmt w:val="bullet"/>
      <w:lvlText w:val="•"/>
      <w:lvlJc w:val="left"/>
      <w:pPr>
        <w:ind w:left="1785" w:hanging="705"/>
      </w:pPr>
      <w:rPr>
        <w:rFonts w:ascii="Cambria" w:eastAsia="Times New Roman" w:hAnsi="Cambria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81BCD"/>
    <w:multiLevelType w:val="hybridMultilevel"/>
    <w:tmpl w:val="7CF436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A2256D"/>
    <w:multiLevelType w:val="hybridMultilevel"/>
    <w:tmpl w:val="1242F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44D50"/>
    <w:multiLevelType w:val="hybridMultilevel"/>
    <w:tmpl w:val="A7D04750"/>
    <w:lvl w:ilvl="0" w:tplc="7820BF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D316F0"/>
    <w:multiLevelType w:val="hybridMultilevel"/>
    <w:tmpl w:val="703AC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86182"/>
    <w:multiLevelType w:val="hybridMultilevel"/>
    <w:tmpl w:val="ED78BAEE"/>
    <w:lvl w:ilvl="0" w:tplc="0C0A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8" w15:restartNumberingAfterBreak="0">
    <w:nsid w:val="2C9E767A"/>
    <w:multiLevelType w:val="hybridMultilevel"/>
    <w:tmpl w:val="1556F3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92317"/>
    <w:multiLevelType w:val="hybridMultilevel"/>
    <w:tmpl w:val="D172A32E"/>
    <w:lvl w:ilvl="0" w:tplc="B4D25ED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A6A6A6" w:themeColor="background1" w:themeShade="A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D013D"/>
    <w:multiLevelType w:val="hybridMultilevel"/>
    <w:tmpl w:val="7F9869E4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937C0"/>
    <w:multiLevelType w:val="hybridMultilevel"/>
    <w:tmpl w:val="1A5C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73BE1"/>
    <w:multiLevelType w:val="hybridMultilevel"/>
    <w:tmpl w:val="A52C2DFA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70EE2CB0"/>
    <w:multiLevelType w:val="hybridMultilevel"/>
    <w:tmpl w:val="41E8F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4"/>
  </w:num>
  <w:num w:numId="5">
    <w:abstractNumId w:val="13"/>
  </w:num>
  <w:num w:numId="6">
    <w:abstractNumId w:val="7"/>
  </w:num>
  <w:num w:numId="7">
    <w:abstractNumId w:val="5"/>
  </w:num>
  <w:num w:numId="8">
    <w:abstractNumId w:val="11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59"/>
    <w:rsid w:val="00015DD6"/>
    <w:rsid w:val="0008385D"/>
    <w:rsid w:val="000932CF"/>
    <w:rsid w:val="001006F5"/>
    <w:rsid w:val="00102314"/>
    <w:rsid w:val="0011072B"/>
    <w:rsid w:val="00116C18"/>
    <w:rsid w:val="00124814"/>
    <w:rsid w:val="001522D6"/>
    <w:rsid w:val="00163BBA"/>
    <w:rsid w:val="0017177C"/>
    <w:rsid w:val="001819E5"/>
    <w:rsid w:val="001E6D51"/>
    <w:rsid w:val="00230601"/>
    <w:rsid w:val="0027315D"/>
    <w:rsid w:val="002D3D4B"/>
    <w:rsid w:val="002E21A6"/>
    <w:rsid w:val="00310477"/>
    <w:rsid w:val="003562CF"/>
    <w:rsid w:val="0038101D"/>
    <w:rsid w:val="00395FAA"/>
    <w:rsid w:val="003A4AE7"/>
    <w:rsid w:val="003B34BD"/>
    <w:rsid w:val="003D1173"/>
    <w:rsid w:val="0042367E"/>
    <w:rsid w:val="00461D8D"/>
    <w:rsid w:val="00497746"/>
    <w:rsid w:val="004B4D61"/>
    <w:rsid w:val="004F6A22"/>
    <w:rsid w:val="00514A2A"/>
    <w:rsid w:val="00524F81"/>
    <w:rsid w:val="00535013"/>
    <w:rsid w:val="0054630C"/>
    <w:rsid w:val="0057113E"/>
    <w:rsid w:val="00571747"/>
    <w:rsid w:val="005C1B80"/>
    <w:rsid w:val="005C5364"/>
    <w:rsid w:val="005E1299"/>
    <w:rsid w:val="00647073"/>
    <w:rsid w:val="00662CE6"/>
    <w:rsid w:val="00694EB7"/>
    <w:rsid w:val="006C6240"/>
    <w:rsid w:val="006D19E2"/>
    <w:rsid w:val="00712727"/>
    <w:rsid w:val="00750ABA"/>
    <w:rsid w:val="0075630A"/>
    <w:rsid w:val="00765A3B"/>
    <w:rsid w:val="0076786B"/>
    <w:rsid w:val="00770B77"/>
    <w:rsid w:val="00777F82"/>
    <w:rsid w:val="00814036"/>
    <w:rsid w:val="00823AD0"/>
    <w:rsid w:val="00866C79"/>
    <w:rsid w:val="00872698"/>
    <w:rsid w:val="0088154F"/>
    <w:rsid w:val="008A3A7A"/>
    <w:rsid w:val="008A66BC"/>
    <w:rsid w:val="008C7E59"/>
    <w:rsid w:val="008F0744"/>
    <w:rsid w:val="008F12A7"/>
    <w:rsid w:val="00925616"/>
    <w:rsid w:val="00943CE4"/>
    <w:rsid w:val="00947157"/>
    <w:rsid w:val="009778D6"/>
    <w:rsid w:val="00980AF2"/>
    <w:rsid w:val="00991193"/>
    <w:rsid w:val="00995F1B"/>
    <w:rsid w:val="009B74E9"/>
    <w:rsid w:val="009C027C"/>
    <w:rsid w:val="00A204E2"/>
    <w:rsid w:val="00A30E7E"/>
    <w:rsid w:val="00A42600"/>
    <w:rsid w:val="00A517AE"/>
    <w:rsid w:val="00A970CC"/>
    <w:rsid w:val="00AD501B"/>
    <w:rsid w:val="00AD737D"/>
    <w:rsid w:val="00B020A5"/>
    <w:rsid w:val="00B06BFA"/>
    <w:rsid w:val="00B3187D"/>
    <w:rsid w:val="00B36009"/>
    <w:rsid w:val="00B512E1"/>
    <w:rsid w:val="00B64C53"/>
    <w:rsid w:val="00B84C0D"/>
    <w:rsid w:val="00BC5CF3"/>
    <w:rsid w:val="00BD53B1"/>
    <w:rsid w:val="00C22F04"/>
    <w:rsid w:val="00CA76EE"/>
    <w:rsid w:val="00CD585F"/>
    <w:rsid w:val="00D11541"/>
    <w:rsid w:val="00D47248"/>
    <w:rsid w:val="00D72A59"/>
    <w:rsid w:val="00DE1B3D"/>
    <w:rsid w:val="00E02052"/>
    <w:rsid w:val="00E06445"/>
    <w:rsid w:val="00E1447E"/>
    <w:rsid w:val="00E25968"/>
    <w:rsid w:val="00E3689B"/>
    <w:rsid w:val="00E51BC6"/>
    <w:rsid w:val="00E54BBC"/>
    <w:rsid w:val="00EA6A86"/>
    <w:rsid w:val="00EC70C4"/>
    <w:rsid w:val="00ED7787"/>
    <w:rsid w:val="00EF082F"/>
    <w:rsid w:val="00F155D2"/>
    <w:rsid w:val="00F67DD0"/>
    <w:rsid w:val="00F71888"/>
    <w:rsid w:val="00FB6840"/>
    <w:rsid w:val="00FC7AD7"/>
    <w:rsid w:val="00FD7767"/>
    <w:rsid w:val="00FE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08CA9"/>
  <w15:docId w15:val="{8C261228-C366-403D-944A-4C3AC912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0D"/>
  </w:style>
  <w:style w:type="paragraph" w:styleId="Piedepgina">
    <w:name w:val="footer"/>
    <w:basedOn w:val="Normal"/>
    <w:link w:val="Piedepgina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0D"/>
  </w:style>
  <w:style w:type="paragraph" w:styleId="Prrafodelista">
    <w:name w:val="List Paragraph"/>
    <w:basedOn w:val="Normal"/>
    <w:uiPriority w:val="34"/>
    <w:qFormat/>
    <w:rsid w:val="008C7E59"/>
    <w:pPr>
      <w:ind w:left="720"/>
      <w:contextualSpacing/>
    </w:pPr>
  </w:style>
  <w:style w:type="paragraph" w:customStyle="1" w:styleId="Cuerpodetexto">
    <w:name w:val="Cuerpo de texto"/>
    <w:basedOn w:val="Normal"/>
    <w:rsid w:val="0012481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24814"/>
    <w:pPr>
      <w:spacing w:line="240" w:lineRule="auto"/>
    </w:pPr>
    <w:rPr>
      <w:b/>
      <w:bCs/>
      <w:color w:val="4F81BD" w:themeColor="accent1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995F1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5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9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.us.es/conocenos/carta" TargetMode="External"/><Relationship Id="rId13" Type="http://schemas.openxmlformats.org/officeDocument/2006/relationships/hyperlink" Target="https://icasus3.us.es/index.php?page=dato_listar&amp;id_entidad=14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icasus3.us.es/" TargetMode="External"/><Relationship Id="rId12" Type="http://schemas.openxmlformats.org/officeDocument/2006/relationships/hyperlink" Target="https://icasus3.us.es/index.php?page=indicador_listar&amp;id_entidad=14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bib.us.es/conocenos/publicaciones/desarrollos" TargetMode="External"/><Relationship Id="rId2" Type="http://schemas.openxmlformats.org/officeDocument/2006/relationships/styles" Target="styles.xml"/><Relationship Id="rId16" Type="http://schemas.openxmlformats.org/officeDocument/2006/relationships/hyperlink" Target="https://icasus3.us.es/index.php?page=entidad_mostrar&amp;id_entidad=14" TargetMode="External"/><Relationship Id="rId20" Type="http://schemas.openxmlformats.org/officeDocument/2006/relationships/image" Target="media/image5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asus3.us.es/index.php?page=proceso_listar&amp;id_entidad=14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icasus3.us.es/index.php?page=consulta_avanzada&amp;id_entidad=14" TargetMode="External"/><Relationship Id="rId23" Type="http://schemas.openxmlformats.org/officeDocument/2006/relationships/image" Target="media/image7.png"/><Relationship Id="rId28" Type="http://schemas.openxmlformats.org/officeDocument/2006/relationships/header" Target="header2.xml"/><Relationship Id="rId10" Type="http://schemas.openxmlformats.org/officeDocument/2006/relationships/hyperlink" Target="https://icasus3.us.es/index.php?page=proceso_listar&amp;id_entidad=14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icasus3.us.es/index.php?page=cuadro_listar&amp;id_entidad=14" TargetMode="External"/><Relationship Id="rId22" Type="http://schemas.openxmlformats.org/officeDocument/2006/relationships/hyperlink" Target="https://icasus3.us.es/index.php?page=carta_listar&amp;id_entidad=14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s\Plantillas%20Paz\Plantilla%20_Informe%20Brev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_Informe Breve</Template>
  <TotalTime>0</TotalTime>
  <Pages>9</Pages>
  <Words>1994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2</cp:revision>
  <cp:lastPrinted>2016-11-10T10:08:00Z</cp:lastPrinted>
  <dcterms:created xsi:type="dcterms:W3CDTF">2019-01-11T13:20:00Z</dcterms:created>
  <dcterms:modified xsi:type="dcterms:W3CDTF">2019-01-11T13:20:00Z</dcterms:modified>
</cp:coreProperties>
</file>